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20A" w:rsidRDefault="000C7D77">
      <w:r>
        <w:t>Lesson 1</w:t>
      </w:r>
    </w:p>
    <w:p w:rsidR="000C7D77" w:rsidRPr="000C7D77" w:rsidRDefault="000C7D77" w:rsidP="000C7D77">
      <w:pPr>
        <w:spacing w:before="61" w:after="61" w:line="240" w:lineRule="auto"/>
        <w:outlineLvl w:val="3"/>
        <w:rPr>
          <w:rFonts w:ascii="Verdana" w:eastAsia="Times New Roman" w:hAnsi="Verdana" w:cs="Times New Roman"/>
          <w:b/>
          <w:bCs/>
          <w:color w:val="000000"/>
          <w:sz w:val="16"/>
          <w:szCs w:val="16"/>
          <w:lang w:eastAsia="en-CA"/>
        </w:rPr>
      </w:pPr>
      <w:r w:rsidRPr="000C7D77">
        <w:rPr>
          <w:rFonts w:ascii="Verdana" w:eastAsia="Times New Roman" w:hAnsi="Verdana" w:cs="Times New Roman"/>
          <w:b/>
          <w:bCs/>
          <w:color w:val="000000"/>
          <w:sz w:val="16"/>
          <w:szCs w:val="16"/>
          <w:lang w:eastAsia="en-CA"/>
        </w:rPr>
        <w:t xml:space="preserve">Step 1: Identify Investor's Objectives, Goals and Constraints </w:t>
      </w:r>
    </w:p>
    <w:p w:rsidR="000C7D77" w:rsidRPr="000C7D77" w:rsidRDefault="000C7D77" w:rsidP="000C7D77">
      <w:pPr>
        <w:spacing w:before="61" w:after="61" w:line="288" w:lineRule="auto"/>
        <w:rPr>
          <w:rFonts w:ascii="Verdana" w:eastAsia="Times New Roman" w:hAnsi="Verdana" w:cs="Times New Roman"/>
          <w:color w:val="393939"/>
          <w:sz w:val="15"/>
          <w:szCs w:val="15"/>
          <w:lang w:eastAsia="en-CA"/>
        </w:rPr>
      </w:pPr>
      <w:r w:rsidRPr="000C7D77">
        <w:rPr>
          <w:rFonts w:ascii="Verdana" w:eastAsia="Times New Roman" w:hAnsi="Verdana" w:cs="Times New Roman"/>
          <w:color w:val="393939"/>
          <w:sz w:val="15"/>
          <w:szCs w:val="15"/>
          <w:lang w:eastAsia="en-CA"/>
        </w:rPr>
        <w:t xml:space="preserve">It is important to start the REI process by understanding that major participants (equity investor, mortgage lender, tenant and government) bring their own expectations and limitations to the REI. </w:t>
      </w:r>
    </w:p>
    <w:p w:rsidR="000C7D77" w:rsidRPr="000C7D77" w:rsidRDefault="000C7D77" w:rsidP="000C7D77">
      <w:pPr>
        <w:numPr>
          <w:ilvl w:val="0"/>
          <w:numId w:val="1"/>
        </w:numPr>
        <w:spacing w:before="120" w:after="240" w:line="240" w:lineRule="auto"/>
        <w:ind w:left="242"/>
        <w:rPr>
          <w:rFonts w:ascii="Verdana" w:eastAsia="Times New Roman" w:hAnsi="Verdana" w:cs="Times New Roman"/>
          <w:color w:val="393939"/>
          <w:sz w:val="15"/>
          <w:szCs w:val="15"/>
          <w:lang w:eastAsia="en-CA"/>
        </w:rPr>
      </w:pPr>
      <w:r w:rsidRPr="000C7D77">
        <w:rPr>
          <w:rFonts w:ascii="Verdana" w:eastAsia="Times New Roman" w:hAnsi="Verdana" w:cs="Times New Roman"/>
          <w:b/>
          <w:bCs/>
          <w:color w:val="393939"/>
          <w:sz w:val="15"/>
          <w:lang w:eastAsia="en-CA"/>
        </w:rPr>
        <w:t>The equity investor</w:t>
      </w:r>
      <w:r w:rsidRPr="000C7D77">
        <w:rPr>
          <w:rFonts w:ascii="Verdana" w:eastAsia="Times New Roman" w:hAnsi="Verdana" w:cs="Times New Roman"/>
          <w:color w:val="393939"/>
          <w:sz w:val="15"/>
          <w:szCs w:val="15"/>
          <w:lang w:eastAsia="en-CA"/>
        </w:rPr>
        <w:t xml:space="preserve"> is interested in the cash flow that will generate the REI.</w:t>
      </w:r>
    </w:p>
    <w:p w:rsidR="000C7D77" w:rsidRPr="000C7D77" w:rsidRDefault="000C7D77" w:rsidP="000C7D77">
      <w:pPr>
        <w:numPr>
          <w:ilvl w:val="0"/>
          <w:numId w:val="1"/>
        </w:numPr>
        <w:spacing w:before="120" w:after="240" w:line="240" w:lineRule="auto"/>
        <w:ind w:left="242"/>
        <w:rPr>
          <w:rFonts w:ascii="Verdana" w:eastAsia="Times New Roman" w:hAnsi="Verdana" w:cs="Times New Roman"/>
          <w:color w:val="393939"/>
          <w:sz w:val="15"/>
          <w:szCs w:val="15"/>
          <w:lang w:eastAsia="en-CA"/>
        </w:rPr>
      </w:pPr>
      <w:r w:rsidRPr="000C7D77">
        <w:rPr>
          <w:rFonts w:ascii="Verdana" w:eastAsia="Times New Roman" w:hAnsi="Verdana" w:cs="Times New Roman"/>
          <w:b/>
          <w:bCs/>
          <w:color w:val="393939"/>
          <w:sz w:val="15"/>
          <w:lang w:eastAsia="en-CA"/>
        </w:rPr>
        <w:t>The mortgage lender</w:t>
      </w:r>
      <w:r w:rsidRPr="000C7D77">
        <w:rPr>
          <w:rFonts w:ascii="Verdana" w:eastAsia="Times New Roman" w:hAnsi="Verdana" w:cs="Times New Roman"/>
          <w:color w:val="393939"/>
          <w:sz w:val="15"/>
          <w:szCs w:val="15"/>
          <w:lang w:eastAsia="en-CA"/>
        </w:rPr>
        <w:t xml:space="preserve">’s goal is to obtain a rate of return from the money lent to the equity investor. </w:t>
      </w:r>
    </w:p>
    <w:p w:rsidR="000C7D77" w:rsidRPr="000C7D77" w:rsidRDefault="000C7D77" w:rsidP="000C7D77">
      <w:pPr>
        <w:numPr>
          <w:ilvl w:val="0"/>
          <w:numId w:val="1"/>
        </w:numPr>
        <w:spacing w:before="120" w:after="240" w:line="240" w:lineRule="auto"/>
        <w:ind w:left="242"/>
        <w:rPr>
          <w:rFonts w:ascii="Verdana" w:eastAsia="Times New Roman" w:hAnsi="Verdana" w:cs="Times New Roman"/>
          <w:color w:val="393939"/>
          <w:sz w:val="15"/>
          <w:szCs w:val="15"/>
          <w:lang w:eastAsia="en-CA"/>
        </w:rPr>
      </w:pPr>
      <w:r w:rsidRPr="000C7D77">
        <w:rPr>
          <w:rFonts w:ascii="Verdana" w:eastAsia="Times New Roman" w:hAnsi="Verdana" w:cs="Times New Roman"/>
          <w:b/>
          <w:bCs/>
          <w:color w:val="393939"/>
          <w:sz w:val="15"/>
          <w:lang w:eastAsia="en-CA"/>
        </w:rPr>
        <w:t>The tenant</w:t>
      </w:r>
      <w:r w:rsidRPr="000C7D77">
        <w:rPr>
          <w:rFonts w:ascii="Verdana" w:eastAsia="Times New Roman" w:hAnsi="Verdana" w:cs="Times New Roman"/>
          <w:color w:val="393939"/>
          <w:sz w:val="15"/>
          <w:szCs w:val="15"/>
          <w:lang w:eastAsia="en-CA"/>
        </w:rPr>
        <w:t xml:space="preserve"> does not receive an immediate income, but will be concerned with the legal rights to use the property. </w:t>
      </w:r>
    </w:p>
    <w:p w:rsidR="000C7D77" w:rsidRDefault="000C7D77" w:rsidP="000C7D77">
      <w:pPr>
        <w:numPr>
          <w:ilvl w:val="0"/>
          <w:numId w:val="1"/>
        </w:numPr>
        <w:spacing w:before="120" w:after="0" w:line="240" w:lineRule="auto"/>
        <w:ind w:left="242"/>
        <w:rPr>
          <w:rFonts w:ascii="Verdana" w:eastAsia="Times New Roman" w:hAnsi="Verdana" w:cs="Times New Roman"/>
          <w:color w:val="393939"/>
          <w:sz w:val="15"/>
          <w:szCs w:val="15"/>
          <w:lang w:eastAsia="en-CA"/>
        </w:rPr>
      </w:pPr>
      <w:r w:rsidRPr="000C7D77">
        <w:rPr>
          <w:rFonts w:ascii="Verdana" w:eastAsia="Times New Roman" w:hAnsi="Verdana" w:cs="Times New Roman"/>
          <w:b/>
          <w:bCs/>
          <w:color w:val="393939"/>
          <w:sz w:val="15"/>
          <w:lang w:eastAsia="en-CA"/>
        </w:rPr>
        <w:t xml:space="preserve">The government </w:t>
      </w:r>
      <w:r w:rsidRPr="000C7D77">
        <w:rPr>
          <w:rFonts w:ascii="Verdana" w:eastAsia="Times New Roman" w:hAnsi="Verdana" w:cs="Times New Roman"/>
          <w:color w:val="393939"/>
          <w:sz w:val="15"/>
          <w:szCs w:val="15"/>
          <w:lang w:eastAsia="en-CA"/>
        </w:rPr>
        <w:t xml:space="preserve">is responsible for regulating the relationships between the other major participants in the REI process, and it also places restrictions on real estate. </w:t>
      </w:r>
    </w:p>
    <w:p w:rsidR="000C7D77" w:rsidRDefault="000C7D77" w:rsidP="000C7D77">
      <w:pPr>
        <w:spacing w:before="61" w:after="61" w:line="240" w:lineRule="auto"/>
        <w:outlineLvl w:val="3"/>
        <w:rPr>
          <w:rFonts w:ascii="Verdana" w:eastAsia="Times New Roman" w:hAnsi="Verdana" w:cs="Times New Roman"/>
          <w:b/>
          <w:bCs/>
          <w:color w:val="000000"/>
          <w:sz w:val="16"/>
          <w:szCs w:val="16"/>
          <w:lang w:eastAsia="en-CA"/>
        </w:rPr>
      </w:pPr>
    </w:p>
    <w:p w:rsidR="000C7D77" w:rsidRPr="000C7D77" w:rsidRDefault="000C7D77" w:rsidP="000C7D77">
      <w:pPr>
        <w:spacing w:before="61" w:after="61" w:line="240" w:lineRule="auto"/>
        <w:outlineLvl w:val="3"/>
        <w:rPr>
          <w:rFonts w:ascii="Verdana" w:eastAsia="Times New Roman" w:hAnsi="Verdana" w:cs="Times New Roman"/>
          <w:b/>
          <w:bCs/>
          <w:color w:val="000000"/>
          <w:sz w:val="16"/>
          <w:szCs w:val="16"/>
          <w:lang w:eastAsia="en-CA"/>
        </w:rPr>
      </w:pPr>
      <w:r w:rsidRPr="000C7D77">
        <w:rPr>
          <w:rFonts w:ascii="Verdana" w:eastAsia="Times New Roman" w:hAnsi="Verdana" w:cs="Times New Roman"/>
          <w:b/>
          <w:bCs/>
          <w:color w:val="000000"/>
          <w:sz w:val="16"/>
          <w:szCs w:val="16"/>
          <w:lang w:eastAsia="en-CA"/>
        </w:rPr>
        <w:t xml:space="preserve">Step 2: Analyze Investment Climate and Market Conditions </w:t>
      </w:r>
    </w:p>
    <w:p w:rsidR="000C7D77" w:rsidRPr="000C7D77" w:rsidRDefault="000C7D77" w:rsidP="000C7D77">
      <w:pPr>
        <w:spacing w:before="61" w:after="61" w:line="288" w:lineRule="auto"/>
        <w:rPr>
          <w:rFonts w:ascii="Verdana" w:eastAsia="Times New Roman" w:hAnsi="Verdana" w:cs="Times New Roman"/>
          <w:color w:val="393939"/>
          <w:sz w:val="15"/>
          <w:szCs w:val="15"/>
          <w:lang w:eastAsia="en-CA"/>
        </w:rPr>
      </w:pPr>
      <w:r w:rsidRPr="000C7D77">
        <w:rPr>
          <w:rFonts w:ascii="Verdana" w:eastAsia="Times New Roman" w:hAnsi="Verdana" w:cs="Times New Roman"/>
          <w:color w:val="393939"/>
          <w:sz w:val="15"/>
          <w:szCs w:val="15"/>
          <w:lang w:eastAsia="en-CA"/>
        </w:rPr>
        <w:t>The second step in the REI process is learning about the market, legal, financing and tax environment. The result of this analysis will have a great impact on your decision making throughout the process. We will discuss these environments in detail in later lessons; here is a brief overview of what you will learn.</w:t>
      </w:r>
    </w:p>
    <w:p w:rsidR="000C7D77" w:rsidRPr="000C7D77" w:rsidRDefault="000C7D77" w:rsidP="000C7D77">
      <w:pPr>
        <w:numPr>
          <w:ilvl w:val="0"/>
          <w:numId w:val="2"/>
        </w:numPr>
        <w:spacing w:before="120" w:after="240" w:line="240" w:lineRule="auto"/>
        <w:ind w:left="242"/>
        <w:rPr>
          <w:rFonts w:ascii="Verdana" w:eastAsia="Times New Roman" w:hAnsi="Verdana" w:cs="Times New Roman"/>
          <w:color w:val="393939"/>
          <w:sz w:val="15"/>
          <w:szCs w:val="15"/>
          <w:lang w:eastAsia="en-CA"/>
        </w:rPr>
      </w:pPr>
      <w:r w:rsidRPr="000C7D77">
        <w:rPr>
          <w:rFonts w:ascii="Verdana" w:eastAsia="Times New Roman" w:hAnsi="Verdana" w:cs="Times New Roman"/>
          <w:b/>
          <w:bCs/>
          <w:color w:val="393939"/>
          <w:sz w:val="15"/>
          <w:lang w:eastAsia="en-CA"/>
        </w:rPr>
        <w:t>The market environment.</w:t>
      </w:r>
      <w:r w:rsidRPr="000C7D77">
        <w:rPr>
          <w:rFonts w:ascii="Verdana" w:eastAsia="Times New Roman" w:hAnsi="Verdana" w:cs="Times New Roman"/>
          <w:color w:val="393939"/>
          <w:sz w:val="15"/>
          <w:szCs w:val="15"/>
          <w:lang w:eastAsia="en-CA"/>
        </w:rPr>
        <w:t xml:space="preserve"> This analysis identifies supply and demand in the real estate market at local, provincial, and state levels and how they affect the REI.</w:t>
      </w:r>
    </w:p>
    <w:p w:rsidR="000C7D77" w:rsidRPr="000C7D77" w:rsidRDefault="000C7D77" w:rsidP="000C7D77">
      <w:pPr>
        <w:spacing w:before="120" w:after="240" w:line="240" w:lineRule="auto"/>
        <w:ind w:left="242"/>
        <w:rPr>
          <w:rFonts w:ascii="Verdana" w:eastAsia="Times New Roman" w:hAnsi="Verdana" w:cs="Times New Roman"/>
          <w:color w:val="393939"/>
          <w:sz w:val="15"/>
          <w:szCs w:val="15"/>
          <w:lang w:eastAsia="en-CA"/>
        </w:rPr>
      </w:pPr>
      <w:proofErr w:type="gramStart"/>
      <w:r w:rsidRPr="000C7D77">
        <w:rPr>
          <w:rFonts w:ascii="Verdana" w:eastAsia="Times New Roman" w:hAnsi="Verdana" w:cs="Times New Roman"/>
          <w:b/>
          <w:bCs/>
          <w:color w:val="393939"/>
          <w:sz w:val="15"/>
          <w:lang w:eastAsia="en-CA"/>
        </w:rPr>
        <w:t>The legal environment.</w:t>
      </w:r>
      <w:proofErr w:type="gramEnd"/>
      <w:r w:rsidRPr="000C7D77">
        <w:rPr>
          <w:rFonts w:ascii="Verdana" w:eastAsia="Times New Roman" w:hAnsi="Verdana" w:cs="Times New Roman"/>
          <w:b/>
          <w:bCs/>
          <w:color w:val="393939"/>
          <w:sz w:val="15"/>
          <w:lang w:eastAsia="en-CA"/>
        </w:rPr>
        <w:t xml:space="preserve"> </w:t>
      </w:r>
      <w:r w:rsidRPr="000C7D77">
        <w:rPr>
          <w:rFonts w:ascii="Verdana" w:eastAsia="Times New Roman" w:hAnsi="Verdana" w:cs="Times New Roman"/>
          <w:color w:val="393939"/>
          <w:sz w:val="15"/>
          <w:szCs w:val="15"/>
          <w:lang w:eastAsia="en-CA"/>
        </w:rPr>
        <w:t xml:space="preserve">A complex legal system regulates REI and the relationships between its participants. Analysing the legal opportunities and limitations that a REI may entail will play an important role in the acquisition decision and also in the rest of the REI process. </w:t>
      </w:r>
    </w:p>
    <w:p w:rsidR="000C7D77" w:rsidRPr="000C7D77" w:rsidRDefault="000C7D77" w:rsidP="000C7D77">
      <w:pPr>
        <w:numPr>
          <w:ilvl w:val="0"/>
          <w:numId w:val="2"/>
        </w:numPr>
        <w:spacing w:before="120" w:after="240" w:line="240" w:lineRule="auto"/>
        <w:ind w:left="242"/>
        <w:rPr>
          <w:rFonts w:ascii="Verdana" w:eastAsia="Times New Roman" w:hAnsi="Verdana" w:cs="Times New Roman"/>
          <w:color w:val="393939"/>
          <w:sz w:val="15"/>
          <w:szCs w:val="15"/>
          <w:lang w:eastAsia="en-CA"/>
        </w:rPr>
      </w:pPr>
      <w:r w:rsidRPr="000C7D77">
        <w:rPr>
          <w:rFonts w:ascii="Verdana" w:eastAsia="Times New Roman" w:hAnsi="Verdana" w:cs="Times New Roman"/>
          <w:b/>
          <w:bCs/>
          <w:color w:val="393939"/>
          <w:sz w:val="15"/>
          <w:lang w:eastAsia="en-CA"/>
        </w:rPr>
        <w:t xml:space="preserve">The financing environment. </w:t>
      </w:r>
      <w:r w:rsidRPr="000C7D77">
        <w:rPr>
          <w:rFonts w:ascii="Verdana" w:eastAsia="Times New Roman" w:hAnsi="Verdana" w:cs="Times New Roman"/>
          <w:color w:val="393939"/>
          <w:sz w:val="15"/>
          <w:szCs w:val="15"/>
          <w:lang w:eastAsia="en-CA"/>
        </w:rPr>
        <w:t xml:space="preserve">The analysis of the cost of debt or interest rate, and the cost of equity or rate of return, shows how feasible the REI is and how profitable it might be. </w:t>
      </w:r>
    </w:p>
    <w:p w:rsidR="000C7D77" w:rsidRPr="000C7D77" w:rsidRDefault="000C7D77" w:rsidP="000C7D77">
      <w:pPr>
        <w:numPr>
          <w:ilvl w:val="0"/>
          <w:numId w:val="2"/>
        </w:numPr>
        <w:spacing w:before="120" w:after="0" w:line="240" w:lineRule="auto"/>
        <w:ind w:left="242"/>
        <w:rPr>
          <w:rFonts w:ascii="Verdana" w:eastAsia="Times New Roman" w:hAnsi="Verdana" w:cs="Times New Roman"/>
          <w:color w:val="393939"/>
          <w:sz w:val="15"/>
          <w:szCs w:val="15"/>
          <w:lang w:eastAsia="en-CA"/>
        </w:rPr>
      </w:pPr>
      <w:r w:rsidRPr="000C7D77">
        <w:rPr>
          <w:rFonts w:ascii="Verdana" w:eastAsia="Times New Roman" w:hAnsi="Verdana" w:cs="Times New Roman"/>
          <w:b/>
          <w:bCs/>
          <w:color w:val="393939"/>
          <w:sz w:val="15"/>
          <w:lang w:eastAsia="en-CA"/>
        </w:rPr>
        <w:t xml:space="preserve">The tax environment. </w:t>
      </w:r>
      <w:r w:rsidRPr="000C7D77">
        <w:rPr>
          <w:rFonts w:ascii="Verdana" w:eastAsia="Times New Roman" w:hAnsi="Verdana" w:cs="Times New Roman"/>
          <w:color w:val="393939"/>
          <w:sz w:val="15"/>
          <w:szCs w:val="15"/>
          <w:lang w:eastAsia="en-CA"/>
        </w:rPr>
        <w:t xml:space="preserve">Taxes decrease the REI’s income; therefore, knowing the taxation system and the impact that it will have on the expected income will help in making the right investment decision to save money or to increase gains. </w:t>
      </w:r>
    </w:p>
    <w:p w:rsidR="000C7D77" w:rsidRPr="000C7D77" w:rsidRDefault="000C7D77" w:rsidP="000C7D77">
      <w:pPr>
        <w:spacing w:before="120" w:after="0" w:line="240" w:lineRule="auto"/>
        <w:ind w:left="-118"/>
        <w:rPr>
          <w:rFonts w:ascii="Verdana" w:eastAsia="Times New Roman" w:hAnsi="Verdana" w:cs="Times New Roman"/>
          <w:color w:val="393939"/>
          <w:sz w:val="15"/>
          <w:szCs w:val="15"/>
          <w:lang w:eastAsia="en-CA"/>
        </w:rPr>
      </w:pPr>
    </w:p>
    <w:p w:rsidR="00A466FE" w:rsidRPr="00A466FE" w:rsidRDefault="00A466FE" w:rsidP="00A466FE">
      <w:pPr>
        <w:spacing w:before="61" w:after="61" w:line="240" w:lineRule="auto"/>
        <w:outlineLvl w:val="3"/>
        <w:rPr>
          <w:rFonts w:ascii="Verdana" w:eastAsia="Times New Roman" w:hAnsi="Verdana" w:cs="Times New Roman"/>
          <w:b/>
          <w:bCs/>
          <w:color w:val="000000"/>
          <w:sz w:val="16"/>
          <w:szCs w:val="16"/>
          <w:lang w:eastAsia="en-CA"/>
        </w:rPr>
      </w:pPr>
      <w:r w:rsidRPr="00A466FE">
        <w:rPr>
          <w:rFonts w:ascii="Verdana" w:eastAsia="Times New Roman" w:hAnsi="Verdana" w:cs="Times New Roman"/>
          <w:b/>
          <w:bCs/>
          <w:color w:val="000000"/>
          <w:sz w:val="16"/>
          <w:szCs w:val="16"/>
          <w:lang w:eastAsia="en-CA"/>
        </w:rPr>
        <w:t>Step 3: Develop Financial Analysis</w:t>
      </w:r>
    </w:p>
    <w:p w:rsidR="00A466FE" w:rsidRPr="00A466FE" w:rsidRDefault="00A466FE" w:rsidP="00A466FE">
      <w:pPr>
        <w:spacing w:after="0" w:line="240" w:lineRule="auto"/>
        <w:rPr>
          <w:rFonts w:ascii="Verdana" w:eastAsia="Times New Roman" w:hAnsi="Verdana" w:cs="Times New Roman"/>
          <w:color w:val="393939"/>
          <w:sz w:val="15"/>
          <w:szCs w:val="15"/>
          <w:lang w:eastAsia="en-CA"/>
        </w:rPr>
      </w:pPr>
    </w:p>
    <w:p w:rsidR="00A466FE" w:rsidRPr="00A466FE" w:rsidRDefault="00A466FE" w:rsidP="00A466FE">
      <w:pPr>
        <w:spacing w:before="61" w:after="61" w:line="288" w:lineRule="auto"/>
        <w:rPr>
          <w:rFonts w:ascii="Verdana" w:eastAsia="Times New Roman" w:hAnsi="Verdana" w:cs="Times New Roman"/>
          <w:color w:val="393939"/>
          <w:sz w:val="15"/>
          <w:szCs w:val="15"/>
          <w:lang w:eastAsia="en-CA"/>
        </w:rPr>
      </w:pPr>
      <w:r w:rsidRPr="00A466FE">
        <w:rPr>
          <w:rFonts w:ascii="Verdana" w:eastAsia="Times New Roman" w:hAnsi="Verdana" w:cs="Times New Roman"/>
          <w:color w:val="393939"/>
          <w:sz w:val="15"/>
          <w:szCs w:val="15"/>
          <w:lang w:eastAsia="en-CA"/>
        </w:rPr>
        <w:t>The financial analysis deals with financial calculations that will allow you to anticipate the cash flow of the REI. At the end of the analysis you will be able to answer questions such as:</w:t>
      </w:r>
    </w:p>
    <w:p w:rsidR="00A466FE" w:rsidRPr="00A466FE" w:rsidRDefault="00A466FE" w:rsidP="00A466FE">
      <w:pPr>
        <w:numPr>
          <w:ilvl w:val="0"/>
          <w:numId w:val="3"/>
        </w:numPr>
        <w:spacing w:before="120" w:after="0" w:line="240" w:lineRule="auto"/>
        <w:ind w:left="242"/>
        <w:rPr>
          <w:rFonts w:ascii="Verdana" w:eastAsia="Times New Roman" w:hAnsi="Verdana" w:cs="Times New Roman"/>
          <w:color w:val="393939"/>
          <w:sz w:val="15"/>
          <w:szCs w:val="15"/>
          <w:lang w:eastAsia="en-CA"/>
        </w:rPr>
      </w:pPr>
      <w:r w:rsidRPr="00A466FE">
        <w:rPr>
          <w:rFonts w:ascii="Verdana" w:eastAsia="Times New Roman" w:hAnsi="Verdana" w:cs="Times New Roman"/>
          <w:color w:val="393939"/>
          <w:sz w:val="15"/>
          <w:szCs w:val="15"/>
          <w:lang w:eastAsia="en-CA"/>
        </w:rPr>
        <w:t xml:space="preserve">How much is profit per year? </w:t>
      </w:r>
    </w:p>
    <w:p w:rsidR="00A466FE" w:rsidRPr="00A466FE" w:rsidRDefault="00A466FE" w:rsidP="00A466FE">
      <w:pPr>
        <w:numPr>
          <w:ilvl w:val="0"/>
          <w:numId w:val="3"/>
        </w:numPr>
        <w:spacing w:before="120" w:after="0" w:line="240" w:lineRule="auto"/>
        <w:ind w:left="242"/>
        <w:rPr>
          <w:rFonts w:ascii="Verdana" w:eastAsia="Times New Roman" w:hAnsi="Verdana" w:cs="Times New Roman"/>
          <w:color w:val="393939"/>
          <w:sz w:val="15"/>
          <w:szCs w:val="15"/>
          <w:lang w:eastAsia="en-CA"/>
        </w:rPr>
      </w:pPr>
      <w:r w:rsidRPr="00A466FE">
        <w:rPr>
          <w:rFonts w:ascii="Verdana" w:eastAsia="Times New Roman" w:hAnsi="Verdana" w:cs="Times New Roman"/>
          <w:color w:val="393939"/>
          <w:sz w:val="15"/>
          <w:szCs w:val="15"/>
          <w:lang w:eastAsia="en-CA"/>
        </w:rPr>
        <w:t xml:space="preserve">How much is the mortgage payment? </w:t>
      </w:r>
    </w:p>
    <w:p w:rsidR="00A466FE" w:rsidRPr="00A466FE" w:rsidRDefault="00A466FE" w:rsidP="00A466FE">
      <w:pPr>
        <w:numPr>
          <w:ilvl w:val="0"/>
          <w:numId w:val="3"/>
        </w:numPr>
        <w:spacing w:before="120" w:after="0" w:line="240" w:lineRule="auto"/>
        <w:ind w:left="242"/>
        <w:rPr>
          <w:rFonts w:ascii="Verdana" w:eastAsia="Times New Roman" w:hAnsi="Verdana" w:cs="Times New Roman"/>
          <w:color w:val="393939"/>
          <w:sz w:val="15"/>
          <w:szCs w:val="15"/>
          <w:lang w:eastAsia="en-CA"/>
        </w:rPr>
      </w:pPr>
      <w:r w:rsidRPr="00A466FE">
        <w:rPr>
          <w:rFonts w:ascii="Verdana" w:eastAsia="Times New Roman" w:hAnsi="Verdana" w:cs="Times New Roman"/>
          <w:color w:val="393939"/>
          <w:sz w:val="15"/>
          <w:szCs w:val="15"/>
          <w:lang w:eastAsia="en-CA"/>
        </w:rPr>
        <w:t>How much is the capital gain when I sell?</w:t>
      </w:r>
    </w:p>
    <w:p w:rsidR="00A466FE" w:rsidRPr="00A466FE" w:rsidRDefault="00A466FE" w:rsidP="00A466FE">
      <w:pPr>
        <w:numPr>
          <w:ilvl w:val="0"/>
          <w:numId w:val="3"/>
        </w:numPr>
        <w:spacing w:before="120" w:after="0" w:line="240" w:lineRule="auto"/>
        <w:ind w:left="242"/>
        <w:rPr>
          <w:rFonts w:ascii="Verdana" w:eastAsia="Times New Roman" w:hAnsi="Verdana" w:cs="Times New Roman"/>
          <w:color w:val="393939"/>
          <w:sz w:val="15"/>
          <w:szCs w:val="15"/>
          <w:lang w:eastAsia="en-CA"/>
        </w:rPr>
      </w:pPr>
      <w:r w:rsidRPr="00A466FE">
        <w:rPr>
          <w:rFonts w:ascii="Verdana" w:eastAsia="Times New Roman" w:hAnsi="Verdana" w:cs="Times New Roman"/>
          <w:color w:val="393939"/>
          <w:sz w:val="15"/>
          <w:szCs w:val="15"/>
          <w:lang w:eastAsia="en-CA"/>
        </w:rPr>
        <w:t xml:space="preserve">How much will taxes diminish my profit? </w:t>
      </w:r>
    </w:p>
    <w:p w:rsidR="00A466FE" w:rsidRPr="00A466FE" w:rsidRDefault="00A466FE" w:rsidP="00A466FE">
      <w:pPr>
        <w:numPr>
          <w:ilvl w:val="0"/>
          <w:numId w:val="3"/>
        </w:numPr>
        <w:spacing w:before="120" w:after="0" w:line="240" w:lineRule="auto"/>
        <w:ind w:left="242"/>
        <w:rPr>
          <w:rFonts w:ascii="Verdana" w:eastAsia="Times New Roman" w:hAnsi="Verdana" w:cs="Times New Roman"/>
          <w:color w:val="393939"/>
          <w:sz w:val="15"/>
          <w:szCs w:val="15"/>
          <w:lang w:eastAsia="en-CA"/>
        </w:rPr>
      </w:pPr>
      <w:r w:rsidRPr="00A466FE">
        <w:rPr>
          <w:rFonts w:ascii="Verdana" w:eastAsia="Times New Roman" w:hAnsi="Verdana" w:cs="Times New Roman"/>
          <w:color w:val="393939"/>
          <w:sz w:val="15"/>
          <w:szCs w:val="15"/>
          <w:lang w:eastAsia="en-CA"/>
        </w:rPr>
        <w:t>How much will taxes decrease my capital gains?</w:t>
      </w:r>
    </w:p>
    <w:p w:rsidR="00A466FE" w:rsidRDefault="00A466FE" w:rsidP="00A466FE">
      <w:pPr>
        <w:numPr>
          <w:ilvl w:val="0"/>
          <w:numId w:val="3"/>
        </w:numPr>
        <w:spacing w:before="120" w:after="0" w:line="240" w:lineRule="auto"/>
        <w:ind w:left="242"/>
        <w:rPr>
          <w:rFonts w:ascii="Verdana" w:eastAsia="Times New Roman" w:hAnsi="Verdana" w:cs="Times New Roman"/>
          <w:color w:val="393939"/>
          <w:sz w:val="15"/>
          <w:szCs w:val="15"/>
          <w:lang w:eastAsia="en-CA"/>
        </w:rPr>
      </w:pPr>
      <w:r w:rsidRPr="00A466FE">
        <w:rPr>
          <w:rFonts w:ascii="Verdana" w:eastAsia="Times New Roman" w:hAnsi="Verdana" w:cs="Times New Roman"/>
          <w:color w:val="393939"/>
          <w:sz w:val="15"/>
          <w:szCs w:val="15"/>
          <w:lang w:eastAsia="en-CA"/>
        </w:rPr>
        <w:t>What strategies should I use to reduce taxes on profits and capital gains?</w:t>
      </w:r>
    </w:p>
    <w:p w:rsidR="00D7464D" w:rsidRDefault="00D7464D" w:rsidP="00D7464D">
      <w:pPr>
        <w:spacing w:before="61" w:after="61" w:line="240" w:lineRule="auto"/>
        <w:outlineLvl w:val="3"/>
        <w:rPr>
          <w:rFonts w:ascii="Verdana" w:eastAsia="Times New Roman" w:hAnsi="Verdana" w:cs="Times New Roman"/>
          <w:b/>
          <w:bCs/>
          <w:color w:val="000000"/>
          <w:sz w:val="16"/>
          <w:szCs w:val="16"/>
          <w:lang w:eastAsia="en-CA"/>
        </w:rPr>
      </w:pPr>
    </w:p>
    <w:p w:rsidR="00D7464D" w:rsidRDefault="00D7464D" w:rsidP="00D7464D">
      <w:pPr>
        <w:spacing w:before="61" w:after="61" w:line="240" w:lineRule="auto"/>
        <w:outlineLvl w:val="3"/>
        <w:rPr>
          <w:rFonts w:ascii="Verdana" w:eastAsia="Times New Roman" w:hAnsi="Verdana" w:cs="Times New Roman"/>
          <w:b/>
          <w:bCs/>
          <w:color w:val="000000"/>
          <w:sz w:val="16"/>
          <w:szCs w:val="16"/>
          <w:lang w:eastAsia="en-CA"/>
        </w:rPr>
      </w:pPr>
    </w:p>
    <w:p w:rsidR="00D7464D" w:rsidRDefault="00D7464D" w:rsidP="00D7464D">
      <w:pPr>
        <w:spacing w:before="61" w:after="61" w:line="240" w:lineRule="auto"/>
        <w:outlineLvl w:val="3"/>
        <w:rPr>
          <w:rFonts w:ascii="Verdana" w:eastAsia="Times New Roman" w:hAnsi="Verdana" w:cs="Times New Roman"/>
          <w:b/>
          <w:bCs/>
          <w:color w:val="000000"/>
          <w:sz w:val="16"/>
          <w:szCs w:val="16"/>
          <w:lang w:eastAsia="en-CA"/>
        </w:rPr>
      </w:pPr>
    </w:p>
    <w:p w:rsidR="00D7464D" w:rsidRDefault="00D7464D" w:rsidP="00D7464D">
      <w:pPr>
        <w:spacing w:before="61" w:after="61" w:line="240" w:lineRule="auto"/>
        <w:outlineLvl w:val="3"/>
        <w:rPr>
          <w:rFonts w:ascii="Verdana" w:eastAsia="Times New Roman" w:hAnsi="Verdana" w:cs="Times New Roman"/>
          <w:b/>
          <w:bCs/>
          <w:color w:val="000000"/>
          <w:sz w:val="16"/>
          <w:szCs w:val="16"/>
          <w:lang w:eastAsia="en-CA"/>
        </w:rPr>
      </w:pPr>
    </w:p>
    <w:p w:rsidR="00D7464D" w:rsidRDefault="00D7464D" w:rsidP="00D7464D">
      <w:pPr>
        <w:spacing w:before="61" w:after="61" w:line="240" w:lineRule="auto"/>
        <w:outlineLvl w:val="3"/>
        <w:rPr>
          <w:rFonts w:ascii="Verdana" w:eastAsia="Times New Roman" w:hAnsi="Verdana" w:cs="Times New Roman"/>
          <w:b/>
          <w:bCs/>
          <w:color w:val="000000"/>
          <w:sz w:val="16"/>
          <w:szCs w:val="16"/>
          <w:lang w:eastAsia="en-CA"/>
        </w:rPr>
      </w:pPr>
    </w:p>
    <w:p w:rsidR="00D7464D" w:rsidRDefault="00D7464D" w:rsidP="00D7464D">
      <w:pPr>
        <w:spacing w:before="61" w:after="61" w:line="240" w:lineRule="auto"/>
        <w:outlineLvl w:val="3"/>
        <w:rPr>
          <w:rFonts w:ascii="Verdana" w:eastAsia="Times New Roman" w:hAnsi="Verdana" w:cs="Times New Roman"/>
          <w:b/>
          <w:bCs/>
          <w:color w:val="000000"/>
          <w:sz w:val="16"/>
          <w:szCs w:val="16"/>
          <w:lang w:eastAsia="en-CA"/>
        </w:rPr>
      </w:pPr>
    </w:p>
    <w:p w:rsidR="00D7464D" w:rsidRDefault="00D7464D" w:rsidP="00D7464D">
      <w:pPr>
        <w:spacing w:before="61" w:after="61" w:line="240" w:lineRule="auto"/>
        <w:outlineLvl w:val="3"/>
        <w:rPr>
          <w:rFonts w:ascii="Verdana" w:eastAsia="Times New Roman" w:hAnsi="Verdana" w:cs="Times New Roman"/>
          <w:b/>
          <w:bCs/>
          <w:color w:val="000000"/>
          <w:sz w:val="16"/>
          <w:szCs w:val="16"/>
          <w:lang w:eastAsia="en-CA"/>
        </w:rPr>
      </w:pPr>
    </w:p>
    <w:p w:rsidR="00D7464D" w:rsidRDefault="00D7464D" w:rsidP="00D7464D">
      <w:pPr>
        <w:spacing w:before="61" w:after="61" w:line="240" w:lineRule="auto"/>
        <w:outlineLvl w:val="3"/>
        <w:rPr>
          <w:rFonts w:ascii="Verdana" w:eastAsia="Times New Roman" w:hAnsi="Verdana" w:cs="Times New Roman"/>
          <w:b/>
          <w:bCs/>
          <w:color w:val="000000"/>
          <w:sz w:val="16"/>
          <w:szCs w:val="16"/>
          <w:lang w:eastAsia="en-CA"/>
        </w:rPr>
      </w:pPr>
    </w:p>
    <w:p w:rsidR="00D7464D" w:rsidRDefault="00D7464D" w:rsidP="00D7464D">
      <w:pPr>
        <w:spacing w:before="61" w:after="61" w:line="240" w:lineRule="auto"/>
        <w:outlineLvl w:val="3"/>
        <w:rPr>
          <w:rFonts w:ascii="Verdana" w:eastAsia="Times New Roman" w:hAnsi="Verdana" w:cs="Times New Roman"/>
          <w:b/>
          <w:bCs/>
          <w:color w:val="000000"/>
          <w:sz w:val="16"/>
          <w:szCs w:val="16"/>
          <w:lang w:eastAsia="en-CA"/>
        </w:rPr>
      </w:pPr>
    </w:p>
    <w:p w:rsidR="00D7464D" w:rsidRDefault="00D7464D" w:rsidP="00D7464D">
      <w:pPr>
        <w:spacing w:before="61" w:after="61" w:line="240" w:lineRule="auto"/>
        <w:outlineLvl w:val="3"/>
        <w:rPr>
          <w:rFonts w:ascii="Verdana" w:eastAsia="Times New Roman" w:hAnsi="Verdana" w:cs="Times New Roman"/>
          <w:b/>
          <w:bCs/>
          <w:color w:val="000000"/>
          <w:sz w:val="16"/>
          <w:szCs w:val="16"/>
          <w:lang w:eastAsia="en-CA"/>
        </w:rPr>
      </w:pPr>
    </w:p>
    <w:p w:rsidR="00D7464D" w:rsidRPr="00D7464D" w:rsidRDefault="00D7464D" w:rsidP="00D7464D">
      <w:pPr>
        <w:spacing w:before="61" w:after="61" w:line="240" w:lineRule="auto"/>
        <w:outlineLvl w:val="3"/>
        <w:rPr>
          <w:rFonts w:ascii="Verdana" w:eastAsia="Times New Roman" w:hAnsi="Verdana" w:cs="Times New Roman"/>
          <w:b/>
          <w:bCs/>
          <w:color w:val="000000"/>
          <w:sz w:val="16"/>
          <w:szCs w:val="16"/>
          <w:lang w:eastAsia="en-CA"/>
        </w:rPr>
      </w:pPr>
      <w:r w:rsidRPr="00D7464D">
        <w:rPr>
          <w:rFonts w:ascii="Verdana" w:eastAsia="Times New Roman" w:hAnsi="Verdana" w:cs="Times New Roman"/>
          <w:b/>
          <w:bCs/>
          <w:color w:val="000000"/>
          <w:sz w:val="16"/>
          <w:szCs w:val="16"/>
          <w:lang w:eastAsia="en-CA"/>
        </w:rPr>
        <w:lastRenderedPageBreak/>
        <w:t xml:space="preserve">Step 4: Apply Decision-Making Criteria </w:t>
      </w:r>
    </w:p>
    <w:p w:rsidR="00D7464D" w:rsidRPr="00D7464D" w:rsidRDefault="00D7464D" w:rsidP="00D7464D">
      <w:pPr>
        <w:spacing w:before="61" w:after="61" w:line="288" w:lineRule="auto"/>
        <w:rPr>
          <w:rFonts w:ascii="Verdana" w:eastAsia="Times New Roman" w:hAnsi="Verdana" w:cs="Times New Roman"/>
          <w:color w:val="393939"/>
          <w:sz w:val="15"/>
          <w:szCs w:val="15"/>
          <w:lang w:eastAsia="en-CA"/>
        </w:rPr>
      </w:pPr>
      <w:r w:rsidRPr="00D7464D">
        <w:rPr>
          <w:rFonts w:ascii="Verdana" w:eastAsia="Times New Roman" w:hAnsi="Verdana" w:cs="Times New Roman"/>
          <w:color w:val="393939"/>
          <w:sz w:val="15"/>
          <w:szCs w:val="15"/>
          <w:lang w:eastAsia="en-CA"/>
        </w:rPr>
        <w:t>In this step, you apply decision-making criteria to decide how much you are able or willing to pay for a property to obtain the desired rate of return. To do so, you may use three criteria:</w:t>
      </w:r>
    </w:p>
    <w:p w:rsidR="00D7464D" w:rsidRPr="00D7464D" w:rsidRDefault="00D7464D" w:rsidP="00D7464D">
      <w:pPr>
        <w:spacing w:after="0" w:line="240" w:lineRule="auto"/>
        <w:rPr>
          <w:rFonts w:ascii="Verdana" w:eastAsia="Times New Roman" w:hAnsi="Verdana" w:cs="Times New Roman"/>
          <w:color w:val="393939"/>
          <w:sz w:val="15"/>
          <w:szCs w:val="15"/>
          <w:lang w:eastAsia="en-CA"/>
        </w:rPr>
      </w:pPr>
    </w:p>
    <w:p w:rsidR="00D7464D" w:rsidRPr="00D7464D" w:rsidRDefault="00D7464D" w:rsidP="00D7464D">
      <w:pPr>
        <w:numPr>
          <w:ilvl w:val="0"/>
          <w:numId w:val="4"/>
        </w:numPr>
        <w:spacing w:before="120" w:after="240" w:line="240" w:lineRule="auto"/>
        <w:ind w:left="242"/>
        <w:rPr>
          <w:rFonts w:ascii="Verdana" w:eastAsia="Times New Roman" w:hAnsi="Verdana" w:cs="Times New Roman"/>
          <w:color w:val="393939"/>
          <w:sz w:val="15"/>
          <w:szCs w:val="15"/>
          <w:lang w:eastAsia="en-CA"/>
        </w:rPr>
      </w:pPr>
      <w:r w:rsidRPr="00D7464D">
        <w:rPr>
          <w:rFonts w:ascii="Verdana" w:eastAsia="Times New Roman" w:hAnsi="Verdana" w:cs="Times New Roman"/>
          <w:b/>
          <w:bCs/>
          <w:color w:val="393939"/>
          <w:sz w:val="15"/>
          <w:lang w:eastAsia="en-CA"/>
        </w:rPr>
        <w:t xml:space="preserve">Rules of Thumb Techniques, </w:t>
      </w:r>
      <w:r w:rsidRPr="00D7464D">
        <w:rPr>
          <w:rFonts w:ascii="Verdana" w:eastAsia="Times New Roman" w:hAnsi="Verdana" w:cs="Times New Roman"/>
          <w:color w:val="393939"/>
          <w:sz w:val="15"/>
          <w:szCs w:val="15"/>
          <w:lang w:eastAsia="en-CA"/>
        </w:rPr>
        <w:t xml:space="preserve">which measure the payback period necessary to regain what was invested to acquire a property, and the methods needed to achieve the highest rate of return. Techniques are: payback method, return on investment (ROI), return on equity (ROE), return on asset (ROA), gross income multiplier (GIM), net operating multiplier (NIM) and overall capitalization method (OCR). </w:t>
      </w:r>
    </w:p>
    <w:p w:rsidR="00D7464D" w:rsidRPr="00D7464D" w:rsidRDefault="00D7464D" w:rsidP="00D7464D">
      <w:pPr>
        <w:numPr>
          <w:ilvl w:val="0"/>
          <w:numId w:val="4"/>
        </w:numPr>
        <w:spacing w:before="120" w:after="240" w:line="240" w:lineRule="auto"/>
        <w:ind w:left="242"/>
        <w:rPr>
          <w:rFonts w:ascii="Verdana" w:eastAsia="Times New Roman" w:hAnsi="Verdana" w:cs="Times New Roman"/>
          <w:color w:val="393939"/>
          <w:sz w:val="15"/>
          <w:szCs w:val="15"/>
          <w:lang w:eastAsia="en-CA"/>
        </w:rPr>
      </w:pPr>
      <w:r w:rsidRPr="00D7464D">
        <w:rPr>
          <w:rFonts w:ascii="Verdana" w:eastAsia="Times New Roman" w:hAnsi="Verdana" w:cs="Times New Roman"/>
          <w:b/>
          <w:bCs/>
          <w:color w:val="393939"/>
          <w:sz w:val="15"/>
          <w:lang w:eastAsia="en-CA"/>
        </w:rPr>
        <w:t xml:space="preserve">Discounted Cash Flow Techniques, </w:t>
      </w:r>
      <w:r w:rsidRPr="00D7464D">
        <w:rPr>
          <w:rFonts w:ascii="Verdana" w:eastAsia="Times New Roman" w:hAnsi="Verdana" w:cs="Times New Roman"/>
          <w:color w:val="393939"/>
          <w:sz w:val="15"/>
          <w:szCs w:val="15"/>
          <w:lang w:eastAsia="en-CA"/>
        </w:rPr>
        <w:t xml:space="preserve">which calculate the value today of the REI future cash flow. These techniques take time value of money into consideration and include discounted payback period method, net present value method, </w:t>
      </w:r>
      <w:proofErr w:type="spellStart"/>
      <w:r w:rsidRPr="00D7464D">
        <w:rPr>
          <w:rFonts w:ascii="Verdana" w:eastAsia="Times New Roman" w:hAnsi="Verdana" w:cs="Times New Roman"/>
          <w:color w:val="393939"/>
          <w:sz w:val="15"/>
          <w:szCs w:val="15"/>
          <w:lang w:eastAsia="en-CA"/>
        </w:rPr>
        <w:t>internat</w:t>
      </w:r>
      <w:proofErr w:type="spellEnd"/>
      <w:r w:rsidRPr="00D7464D">
        <w:rPr>
          <w:rFonts w:ascii="Verdana" w:eastAsia="Times New Roman" w:hAnsi="Verdana" w:cs="Times New Roman"/>
          <w:color w:val="393939"/>
          <w:sz w:val="15"/>
          <w:szCs w:val="15"/>
          <w:lang w:eastAsia="en-CA"/>
        </w:rPr>
        <w:t xml:space="preserve"> rate of return and profitability index method. </w:t>
      </w:r>
    </w:p>
    <w:p w:rsidR="00D7464D" w:rsidRPr="00D7464D" w:rsidRDefault="00D7464D" w:rsidP="00D7464D">
      <w:pPr>
        <w:numPr>
          <w:ilvl w:val="0"/>
          <w:numId w:val="4"/>
        </w:numPr>
        <w:spacing w:before="120" w:after="0" w:line="240" w:lineRule="auto"/>
        <w:ind w:left="242"/>
        <w:rPr>
          <w:rFonts w:ascii="Verdana" w:eastAsia="Times New Roman" w:hAnsi="Verdana" w:cs="Times New Roman"/>
          <w:color w:val="393939"/>
          <w:sz w:val="15"/>
          <w:szCs w:val="15"/>
          <w:lang w:eastAsia="en-CA"/>
        </w:rPr>
      </w:pPr>
      <w:r w:rsidRPr="00D7464D">
        <w:rPr>
          <w:rFonts w:ascii="Verdana" w:eastAsia="Times New Roman" w:hAnsi="Verdana" w:cs="Times New Roman"/>
          <w:b/>
          <w:bCs/>
          <w:color w:val="393939"/>
          <w:sz w:val="15"/>
          <w:lang w:eastAsia="en-CA"/>
        </w:rPr>
        <w:t xml:space="preserve">Traditional Valuation Techniques, </w:t>
      </w:r>
      <w:r w:rsidRPr="00D7464D">
        <w:rPr>
          <w:rFonts w:ascii="Verdana" w:eastAsia="Times New Roman" w:hAnsi="Verdana" w:cs="Times New Roman"/>
          <w:color w:val="393939"/>
          <w:sz w:val="15"/>
          <w:szCs w:val="15"/>
          <w:lang w:eastAsia="en-CA"/>
        </w:rPr>
        <w:t>which estimate the value of the property that will be used in the REI. These techniques are: cost approach, net income approach and market (sales) comparable approach.</w:t>
      </w:r>
    </w:p>
    <w:p w:rsidR="00A466FE" w:rsidRPr="00A466FE" w:rsidRDefault="00A466FE" w:rsidP="00A466FE">
      <w:pPr>
        <w:spacing w:before="120" w:after="0" w:line="240" w:lineRule="auto"/>
        <w:ind w:left="242"/>
        <w:rPr>
          <w:rFonts w:ascii="Verdana" w:eastAsia="Times New Roman" w:hAnsi="Verdana" w:cs="Times New Roman"/>
          <w:color w:val="393939"/>
          <w:sz w:val="15"/>
          <w:szCs w:val="15"/>
          <w:lang w:eastAsia="en-CA"/>
        </w:rPr>
      </w:pPr>
    </w:p>
    <w:p w:rsidR="00D7464D" w:rsidRDefault="00D7464D" w:rsidP="00D7464D">
      <w:pPr>
        <w:pStyle w:val="Heading4"/>
      </w:pPr>
      <w:r>
        <w:t xml:space="preserve">Step 5: Investment Decision </w:t>
      </w:r>
    </w:p>
    <w:p w:rsidR="00D7464D" w:rsidRDefault="00D7464D" w:rsidP="00D7464D">
      <w:pPr>
        <w:pStyle w:val="NormalWeb"/>
        <w:spacing w:line="288" w:lineRule="auto"/>
        <w:rPr>
          <w:rFonts w:ascii="Verdana" w:hAnsi="Verdana"/>
          <w:color w:val="393939"/>
          <w:sz w:val="15"/>
          <w:szCs w:val="15"/>
        </w:rPr>
      </w:pPr>
      <w:r>
        <w:rPr>
          <w:rFonts w:ascii="Verdana" w:hAnsi="Verdana"/>
          <w:color w:val="393939"/>
          <w:sz w:val="15"/>
          <w:szCs w:val="15"/>
        </w:rPr>
        <w:t>The previous steps will give you the necessary information to decide whether to acquire REI or not. If the result of the analysis is not what you expect, you will repeat the process assessing another REI until you find what meets your financial goals.</w:t>
      </w:r>
      <w:r>
        <w:rPr>
          <w:rFonts w:ascii="Verdana" w:hAnsi="Verdana"/>
          <w:color w:val="393939"/>
          <w:sz w:val="15"/>
          <w:szCs w:val="15"/>
        </w:rPr>
        <w:br/>
      </w:r>
      <w:r>
        <w:rPr>
          <w:rFonts w:ascii="Verdana" w:hAnsi="Verdana"/>
          <w:color w:val="393939"/>
          <w:sz w:val="15"/>
          <w:szCs w:val="15"/>
        </w:rPr>
        <w:br/>
        <w:t xml:space="preserve">In the following lessons we will discuss each step of the process in greater detail. You will also have exercises and self-assessments to practice what you learned and to help build your confidence in order to start your real estate investment. </w:t>
      </w:r>
    </w:p>
    <w:p w:rsidR="0068576C" w:rsidRDefault="0068576C"/>
    <w:p w:rsidR="0068576C" w:rsidRDefault="0068576C">
      <w:r>
        <w:t>Lesson 2</w:t>
      </w:r>
    </w:p>
    <w:p w:rsidR="0068576C" w:rsidRDefault="0068576C">
      <w:pPr>
        <w:rPr>
          <w:rFonts w:ascii="Verdana" w:hAnsi="Verdana"/>
          <w:color w:val="393939"/>
          <w:sz w:val="15"/>
          <w:szCs w:val="15"/>
        </w:rPr>
      </w:pPr>
      <w:r>
        <w:rPr>
          <w:rFonts w:ascii="Verdana" w:hAnsi="Verdana"/>
          <w:color w:val="393939"/>
          <w:sz w:val="15"/>
          <w:szCs w:val="15"/>
        </w:rPr>
        <w:t>Definition nominal rate</w:t>
      </w:r>
    </w:p>
    <w:p w:rsidR="0068576C" w:rsidRDefault="0068576C">
      <w:pPr>
        <w:rPr>
          <w:rFonts w:ascii="Verdana" w:hAnsi="Verdana"/>
          <w:color w:val="393939"/>
          <w:sz w:val="15"/>
          <w:szCs w:val="15"/>
        </w:rPr>
      </w:pPr>
      <w:r>
        <w:rPr>
          <w:rFonts w:ascii="Verdana" w:hAnsi="Verdana"/>
          <w:color w:val="393939"/>
          <w:sz w:val="15"/>
          <w:szCs w:val="15"/>
        </w:rPr>
        <w:t>The nominal rate is also known as “in name only” because it has not been adjusted for inflation. Other sources might also call it Quoted Rate, Stated Rate, Observed Rate, or Annual Percentage Rate (APR). In a given problem, when we talk about the interest rate we are talking about the nominal rate, always written on a per annum basis.</w:t>
      </w:r>
    </w:p>
    <w:p w:rsidR="0068576C" w:rsidRDefault="0068576C" w:rsidP="0068576C">
      <w:pPr>
        <w:pStyle w:val="Heading3"/>
      </w:pPr>
      <w:r>
        <w:t xml:space="preserve">Effective Annual Rate </w:t>
      </w:r>
    </w:p>
    <w:p w:rsidR="0068576C" w:rsidRDefault="0068576C" w:rsidP="0068576C">
      <w:pPr>
        <w:pStyle w:val="Heading3"/>
        <w:shd w:val="clear" w:color="auto" w:fill="E9E3AE"/>
        <w:rPr>
          <w:rFonts w:ascii="Verdana" w:hAnsi="Verdana"/>
          <w:color w:val="958616"/>
          <w:sz w:val="19"/>
          <w:szCs w:val="19"/>
        </w:rPr>
      </w:pPr>
      <w:r>
        <w:t>Definition</w:t>
      </w:r>
    </w:p>
    <w:p w:rsidR="0068576C" w:rsidRDefault="0068576C" w:rsidP="0068576C">
      <w:pPr>
        <w:pStyle w:val="NormalWeb"/>
        <w:shd w:val="clear" w:color="auto" w:fill="FFFFFF"/>
        <w:spacing w:line="288" w:lineRule="auto"/>
        <w:rPr>
          <w:rFonts w:ascii="Verdana" w:hAnsi="Verdana"/>
          <w:color w:val="393939"/>
          <w:sz w:val="15"/>
          <w:szCs w:val="15"/>
        </w:rPr>
      </w:pPr>
      <w:r>
        <w:rPr>
          <w:rFonts w:ascii="Verdana" w:hAnsi="Verdana"/>
          <w:color w:val="393939"/>
          <w:sz w:val="15"/>
          <w:szCs w:val="15"/>
        </w:rPr>
        <w:t xml:space="preserve">The effective annual rate (EAR) is the interest rate compounded once per year. </w:t>
      </w:r>
    </w:p>
    <w:p w:rsidR="005372D6" w:rsidRDefault="005372D6" w:rsidP="005372D6">
      <w:pPr>
        <w:pStyle w:val="Heading3"/>
      </w:pPr>
      <w:r>
        <w:t>Present Value</w:t>
      </w:r>
    </w:p>
    <w:p w:rsidR="005372D6" w:rsidRDefault="005372D6" w:rsidP="005372D6">
      <w:pPr>
        <w:rPr>
          <w:rFonts w:ascii="Verdana" w:hAnsi="Verdana"/>
          <w:color w:val="393939"/>
          <w:sz w:val="15"/>
          <w:szCs w:val="15"/>
        </w:rPr>
      </w:pPr>
    </w:p>
    <w:p w:rsidR="005372D6" w:rsidRDefault="005372D6" w:rsidP="005372D6">
      <w:pPr>
        <w:pStyle w:val="Heading3"/>
        <w:shd w:val="clear" w:color="auto" w:fill="E9E3AE"/>
        <w:rPr>
          <w:rFonts w:ascii="Verdana" w:hAnsi="Verdana"/>
          <w:color w:val="958616"/>
          <w:sz w:val="19"/>
          <w:szCs w:val="19"/>
        </w:rPr>
      </w:pPr>
      <w:r>
        <w:t>Definition</w:t>
      </w:r>
    </w:p>
    <w:p w:rsidR="005372D6" w:rsidRDefault="005372D6" w:rsidP="005372D6">
      <w:pPr>
        <w:pStyle w:val="NormalWeb"/>
        <w:shd w:val="clear" w:color="auto" w:fill="FFFFFF"/>
        <w:spacing w:line="288" w:lineRule="auto"/>
        <w:rPr>
          <w:rFonts w:ascii="Verdana" w:hAnsi="Verdana"/>
          <w:color w:val="393939"/>
          <w:sz w:val="15"/>
          <w:szCs w:val="15"/>
        </w:rPr>
      </w:pPr>
      <w:r>
        <w:rPr>
          <w:rFonts w:ascii="Verdana" w:hAnsi="Verdana"/>
          <w:color w:val="393939"/>
          <w:sz w:val="15"/>
          <w:szCs w:val="15"/>
        </w:rPr>
        <w:t>The present value is the current value that a future amount of money is worth. This value is calculated using four variables: interest rate, number of periods or compounds, future value, and payment.</w:t>
      </w:r>
    </w:p>
    <w:p w:rsidR="00EB2F4C" w:rsidRDefault="00EB2F4C" w:rsidP="00EB2F4C">
      <w:pPr>
        <w:pStyle w:val="Heading3"/>
        <w:shd w:val="clear" w:color="auto" w:fill="E9E3AE"/>
      </w:pPr>
      <w:r>
        <w:t>Future value</w:t>
      </w:r>
    </w:p>
    <w:p w:rsidR="00EB2F4C" w:rsidRDefault="00EB2F4C" w:rsidP="00EB2F4C">
      <w:pPr>
        <w:pStyle w:val="Heading3"/>
        <w:shd w:val="clear" w:color="auto" w:fill="E9E3AE"/>
      </w:pPr>
      <w:r>
        <w:t>Definition</w:t>
      </w:r>
    </w:p>
    <w:p w:rsidR="00EB2F4C" w:rsidRDefault="00EB2F4C" w:rsidP="00EB2F4C">
      <w:pPr>
        <w:pStyle w:val="NormalWeb"/>
        <w:shd w:val="clear" w:color="auto" w:fill="FFFFFF"/>
        <w:spacing w:line="288" w:lineRule="auto"/>
        <w:rPr>
          <w:rFonts w:ascii="Verdana" w:hAnsi="Verdana"/>
          <w:color w:val="393939"/>
          <w:sz w:val="15"/>
          <w:szCs w:val="15"/>
        </w:rPr>
      </w:pPr>
      <w:r>
        <w:rPr>
          <w:rFonts w:ascii="Verdana" w:hAnsi="Verdana"/>
          <w:color w:val="393939"/>
          <w:sz w:val="15"/>
          <w:szCs w:val="15"/>
        </w:rPr>
        <w:t xml:space="preserve">The future value is the value that a current amount of money will have at a specified date in the future. This value is calculated using four variables: interest rate, number of periods or compounds, present value and payment. </w:t>
      </w:r>
    </w:p>
    <w:p w:rsidR="0068576C" w:rsidRDefault="0068576C">
      <w:pPr>
        <w:rPr>
          <w:rFonts w:ascii="Verdana" w:hAnsi="Verdana"/>
          <w:color w:val="393939"/>
          <w:sz w:val="15"/>
          <w:szCs w:val="15"/>
        </w:rPr>
      </w:pPr>
    </w:p>
    <w:p w:rsidR="0068576C" w:rsidRDefault="0068576C">
      <w:pPr>
        <w:rPr>
          <w:rFonts w:ascii="Verdana" w:hAnsi="Verdana"/>
          <w:color w:val="393939"/>
          <w:sz w:val="15"/>
          <w:szCs w:val="15"/>
        </w:rPr>
      </w:pPr>
    </w:p>
    <w:p w:rsidR="0068576C" w:rsidRDefault="0068576C"/>
    <w:sectPr w:rsidR="0068576C" w:rsidSect="008D120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515C6"/>
    <w:multiLevelType w:val="multilevel"/>
    <w:tmpl w:val="04A6CD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CF15D4"/>
    <w:multiLevelType w:val="multilevel"/>
    <w:tmpl w:val="1CCC34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CD3BB2"/>
    <w:multiLevelType w:val="multilevel"/>
    <w:tmpl w:val="F6106D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CDA3388"/>
    <w:multiLevelType w:val="multilevel"/>
    <w:tmpl w:val="2820B8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0C7D77"/>
    <w:rsid w:val="000004BB"/>
    <w:rsid w:val="0000291F"/>
    <w:rsid w:val="00024691"/>
    <w:rsid w:val="00027275"/>
    <w:rsid w:val="0003030A"/>
    <w:rsid w:val="000320FB"/>
    <w:rsid w:val="0004573C"/>
    <w:rsid w:val="00062C21"/>
    <w:rsid w:val="000822A1"/>
    <w:rsid w:val="00096AA0"/>
    <w:rsid w:val="000A1A25"/>
    <w:rsid w:val="000A5EF6"/>
    <w:rsid w:val="000A7049"/>
    <w:rsid w:val="000B15AB"/>
    <w:rsid w:val="000B3178"/>
    <w:rsid w:val="000C7D77"/>
    <w:rsid w:val="000D30AF"/>
    <w:rsid w:val="000D400D"/>
    <w:rsid w:val="000E263C"/>
    <w:rsid w:val="000F3179"/>
    <w:rsid w:val="00106863"/>
    <w:rsid w:val="001179BC"/>
    <w:rsid w:val="00133CCA"/>
    <w:rsid w:val="0014191B"/>
    <w:rsid w:val="0015538A"/>
    <w:rsid w:val="001701DA"/>
    <w:rsid w:val="0019346A"/>
    <w:rsid w:val="001A20AA"/>
    <w:rsid w:val="001A694D"/>
    <w:rsid w:val="001B4494"/>
    <w:rsid w:val="001C183B"/>
    <w:rsid w:val="001F274E"/>
    <w:rsid w:val="0020249E"/>
    <w:rsid w:val="00206062"/>
    <w:rsid w:val="002076E1"/>
    <w:rsid w:val="00211251"/>
    <w:rsid w:val="00212F08"/>
    <w:rsid w:val="002143BA"/>
    <w:rsid w:val="00223EB6"/>
    <w:rsid w:val="00224135"/>
    <w:rsid w:val="00232C87"/>
    <w:rsid w:val="002348F5"/>
    <w:rsid w:val="00262B6E"/>
    <w:rsid w:val="002723D6"/>
    <w:rsid w:val="002813AB"/>
    <w:rsid w:val="002838AF"/>
    <w:rsid w:val="002960E4"/>
    <w:rsid w:val="002C385E"/>
    <w:rsid w:val="002D20BF"/>
    <w:rsid w:val="002E7B6A"/>
    <w:rsid w:val="00303299"/>
    <w:rsid w:val="00306D31"/>
    <w:rsid w:val="00310CD2"/>
    <w:rsid w:val="0031504B"/>
    <w:rsid w:val="003158D1"/>
    <w:rsid w:val="003232A2"/>
    <w:rsid w:val="00343A8D"/>
    <w:rsid w:val="0035433E"/>
    <w:rsid w:val="00360A68"/>
    <w:rsid w:val="00362217"/>
    <w:rsid w:val="003636F0"/>
    <w:rsid w:val="003A10C1"/>
    <w:rsid w:val="003D1216"/>
    <w:rsid w:val="003D765F"/>
    <w:rsid w:val="003E22A6"/>
    <w:rsid w:val="003F365F"/>
    <w:rsid w:val="0040075B"/>
    <w:rsid w:val="00420492"/>
    <w:rsid w:val="004331F4"/>
    <w:rsid w:val="004456EB"/>
    <w:rsid w:val="00446FE1"/>
    <w:rsid w:val="0046441D"/>
    <w:rsid w:val="004837EF"/>
    <w:rsid w:val="00484B8D"/>
    <w:rsid w:val="004A58A1"/>
    <w:rsid w:val="004B1299"/>
    <w:rsid w:val="004C528B"/>
    <w:rsid w:val="004D1ACA"/>
    <w:rsid w:val="004D2671"/>
    <w:rsid w:val="004D7E01"/>
    <w:rsid w:val="004E57C4"/>
    <w:rsid w:val="004F322A"/>
    <w:rsid w:val="00501130"/>
    <w:rsid w:val="00501405"/>
    <w:rsid w:val="00513596"/>
    <w:rsid w:val="0053174B"/>
    <w:rsid w:val="005372D6"/>
    <w:rsid w:val="00551312"/>
    <w:rsid w:val="00556D06"/>
    <w:rsid w:val="00560490"/>
    <w:rsid w:val="00571F44"/>
    <w:rsid w:val="0059758D"/>
    <w:rsid w:val="005A01E2"/>
    <w:rsid w:val="005A590B"/>
    <w:rsid w:val="005B416A"/>
    <w:rsid w:val="005B4974"/>
    <w:rsid w:val="005C7D9D"/>
    <w:rsid w:val="005D0D40"/>
    <w:rsid w:val="005D32B4"/>
    <w:rsid w:val="005D76F6"/>
    <w:rsid w:val="005E3CCA"/>
    <w:rsid w:val="00614A61"/>
    <w:rsid w:val="00624A2D"/>
    <w:rsid w:val="006310EE"/>
    <w:rsid w:val="006347E2"/>
    <w:rsid w:val="00651FD6"/>
    <w:rsid w:val="0066273A"/>
    <w:rsid w:val="006659C7"/>
    <w:rsid w:val="006832B9"/>
    <w:rsid w:val="0068576C"/>
    <w:rsid w:val="006A08CF"/>
    <w:rsid w:val="006A2206"/>
    <w:rsid w:val="006C4640"/>
    <w:rsid w:val="006C788A"/>
    <w:rsid w:val="006D2813"/>
    <w:rsid w:val="006D384D"/>
    <w:rsid w:val="006E440B"/>
    <w:rsid w:val="006F0FBE"/>
    <w:rsid w:val="00703FD2"/>
    <w:rsid w:val="007051E7"/>
    <w:rsid w:val="007141B5"/>
    <w:rsid w:val="007179FD"/>
    <w:rsid w:val="00744272"/>
    <w:rsid w:val="007500AA"/>
    <w:rsid w:val="00760A21"/>
    <w:rsid w:val="00785CEA"/>
    <w:rsid w:val="00787FBB"/>
    <w:rsid w:val="00792E15"/>
    <w:rsid w:val="007A59D5"/>
    <w:rsid w:val="007A78D5"/>
    <w:rsid w:val="007B3CEA"/>
    <w:rsid w:val="007B447B"/>
    <w:rsid w:val="007C4F06"/>
    <w:rsid w:val="007D74A8"/>
    <w:rsid w:val="00810212"/>
    <w:rsid w:val="008138C6"/>
    <w:rsid w:val="0081594B"/>
    <w:rsid w:val="00827F40"/>
    <w:rsid w:val="0083779C"/>
    <w:rsid w:val="00854D13"/>
    <w:rsid w:val="008A0745"/>
    <w:rsid w:val="008A3FD4"/>
    <w:rsid w:val="008C0C1A"/>
    <w:rsid w:val="008D120A"/>
    <w:rsid w:val="008E51E9"/>
    <w:rsid w:val="008F7CBF"/>
    <w:rsid w:val="00914F12"/>
    <w:rsid w:val="009248E9"/>
    <w:rsid w:val="009443D4"/>
    <w:rsid w:val="009450B0"/>
    <w:rsid w:val="0094638F"/>
    <w:rsid w:val="00946447"/>
    <w:rsid w:val="0095641C"/>
    <w:rsid w:val="00963CBD"/>
    <w:rsid w:val="00972C47"/>
    <w:rsid w:val="0099480A"/>
    <w:rsid w:val="00994C81"/>
    <w:rsid w:val="009B4CE3"/>
    <w:rsid w:val="009B4CFA"/>
    <w:rsid w:val="009C4A4C"/>
    <w:rsid w:val="009C75D6"/>
    <w:rsid w:val="009D02E3"/>
    <w:rsid w:val="009D15EB"/>
    <w:rsid w:val="009E2B64"/>
    <w:rsid w:val="009F1E9D"/>
    <w:rsid w:val="00A017C5"/>
    <w:rsid w:val="00A03E7A"/>
    <w:rsid w:val="00A06659"/>
    <w:rsid w:val="00A12A46"/>
    <w:rsid w:val="00A14446"/>
    <w:rsid w:val="00A144EA"/>
    <w:rsid w:val="00A230C9"/>
    <w:rsid w:val="00A32220"/>
    <w:rsid w:val="00A32810"/>
    <w:rsid w:val="00A34AC7"/>
    <w:rsid w:val="00A466FE"/>
    <w:rsid w:val="00A46F1F"/>
    <w:rsid w:val="00A60A85"/>
    <w:rsid w:val="00A64115"/>
    <w:rsid w:val="00A70729"/>
    <w:rsid w:val="00A81BDD"/>
    <w:rsid w:val="00A9243B"/>
    <w:rsid w:val="00A96626"/>
    <w:rsid w:val="00AB3CDA"/>
    <w:rsid w:val="00AC1C5B"/>
    <w:rsid w:val="00AE499C"/>
    <w:rsid w:val="00AF3443"/>
    <w:rsid w:val="00B07253"/>
    <w:rsid w:val="00B117D1"/>
    <w:rsid w:val="00B27F2C"/>
    <w:rsid w:val="00B44269"/>
    <w:rsid w:val="00B668B2"/>
    <w:rsid w:val="00B8461D"/>
    <w:rsid w:val="00B96464"/>
    <w:rsid w:val="00BA5222"/>
    <w:rsid w:val="00BB2F14"/>
    <w:rsid w:val="00BB4B14"/>
    <w:rsid w:val="00C00B61"/>
    <w:rsid w:val="00C02793"/>
    <w:rsid w:val="00C36FE5"/>
    <w:rsid w:val="00C457F0"/>
    <w:rsid w:val="00C47AF9"/>
    <w:rsid w:val="00C52608"/>
    <w:rsid w:val="00C60E15"/>
    <w:rsid w:val="00C62D49"/>
    <w:rsid w:val="00C81690"/>
    <w:rsid w:val="00C86157"/>
    <w:rsid w:val="00CA6C3E"/>
    <w:rsid w:val="00CB17C0"/>
    <w:rsid w:val="00CB458A"/>
    <w:rsid w:val="00CD10D2"/>
    <w:rsid w:val="00CD65B4"/>
    <w:rsid w:val="00CE41D9"/>
    <w:rsid w:val="00CF031F"/>
    <w:rsid w:val="00CF527E"/>
    <w:rsid w:val="00D32461"/>
    <w:rsid w:val="00D37FC0"/>
    <w:rsid w:val="00D40359"/>
    <w:rsid w:val="00D474FF"/>
    <w:rsid w:val="00D54EBC"/>
    <w:rsid w:val="00D6465A"/>
    <w:rsid w:val="00D65520"/>
    <w:rsid w:val="00D70AC1"/>
    <w:rsid w:val="00D7241B"/>
    <w:rsid w:val="00D7464D"/>
    <w:rsid w:val="00D94337"/>
    <w:rsid w:val="00DA1613"/>
    <w:rsid w:val="00DC2E73"/>
    <w:rsid w:val="00DC3392"/>
    <w:rsid w:val="00DC42CD"/>
    <w:rsid w:val="00DC648A"/>
    <w:rsid w:val="00DD2361"/>
    <w:rsid w:val="00DF3E28"/>
    <w:rsid w:val="00DF6E79"/>
    <w:rsid w:val="00E12CAC"/>
    <w:rsid w:val="00E40F16"/>
    <w:rsid w:val="00E86C29"/>
    <w:rsid w:val="00E94BFE"/>
    <w:rsid w:val="00E955AD"/>
    <w:rsid w:val="00E956F8"/>
    <w:rsid w:val="00E96C58"/>
    <w:rsid w:val="00EA306D"/>
    <w:rsid w:val="00EB2F4C"/>
    <w:rsid w:val="00EC0549"/>
    <w:rsid w:val="00EC17B3"/>
    <w:rsid w:val="00EC7D5C"/>
    <w:rsid w:val="00EE629E"/>
    <w:rsid w:val="00EE79B5"/>
    <w:rsid w:val="00EF3D67"/>
    <w:rsid w:val="00EF7F08"/>
    <w:rsid w:val="00F05893"/>
    <w:rsid w:val="00F077DD"/>
    <w:rsid w:val="00F23EF0"/>
    <w:rsid w:val="00F3610F"/>
    <w:rsid w:val="00F367F4"/>
    <w:rsid w:val="00F37B24"/>
    <w:rsid w:val="00F44B3D"/>
    <w:rsid w:val="00F93659"/>
    <w:rsid w:val="00F9758C"/>
    <w:rsid w:val="00FB2EAF"/>
    <w:rsid w:val="00FC051E"/>
    <w:rsid w:val="00FC18AD"/>
    <w:rsid w:val="00FC3D5B"/>
    <w:rsid w:val="00FD11E0"/>
    <w:rsid w:val="00FE7DD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0A"/>
  </w:style>
  <w:style w:type="paragraph" w:styleId="Heading3">
    <w:name w:val="heading 3"/>
    <w:basedOn w:val="Normal"/>
    <w:next w:val="Normal"/>
    <w:link w:val="Heading3Char"/>
    <w:uiPriority w:val="9"/>
    <w:semiHidden/>
    <w:unhideWhenUsed/>
    <w:qFormat/>
    <w:rsid w:val="0068576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0C7D77"/>
    <w:pPr>
      <w:spacing w:before="61" w:after="61" w:line="240" w:lineRule="auto"/>
      <w:outlineLvl w:val="3"/>
    </w:pPr>
    <w:rPr>
      <w:rFonts w:ascii="Verdana" w:eastAsia="Times New Roman" w:hAnsi="Verdana" w:cs="Times New Roman"/>
      <w:b/>
      <w:bCs/>
      <w:color w:val="000000"/>
      <w:sz w:val="16"/>
      <w:szCs w:val="1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7D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7D77"/>
    <w:rPr>
      <w:rFonts w:ascii="Tahoma" w:hAnsi="Tahoma" w:cs="Tahoma"/>
      <w:sz w:val="16"/>
      <w:szCs w:val="16"/>
    </w:rPr>
  </w:style>
  <w:style w:type="character" w:customStyle="1" w:styleId="Heading4Char">
    <w:name w:val="Heading 4 Char"/>
    <w:basedOn w:val="DefaultParagraphFont"/>
    <w:link w:val="Heading4"/>
    <w:uiPriority w:val="9"/>
    <w:rsid w:val="000C7D77"/>
    <w:rPr>
      <w:rFonts w:ascii="Verdana" w:eastAsia="Times New Roman" w:hAnsi="Verdana" w:cs="Times New Roman"/>
      <w:b/>
      <w:bCs/>
      <w:color w:val="000000"/>
      <w:sz w:val="16"/>
      <w:szCs w:val="16"/>
      <w:lang w:eastAsia="en-CA"/>
    </w:rPr>
  </w:style>
  <w:style w:type="character" w:styleId="Strong">
    <w:name w:val="Strong"/>
    <w:basedOn w:val="DefaultParagraphFont"/>
    <w:uiPriority w:val="22"/>
    <w:qFormat/>
    <w:rsid w:val="000C7D77"/>
    <w:rPr>
      <w:b/>
      <w:bCs/>
      <w:i w:val="0"/>
      <w:iCs w:val="0"/>
    </w:rPr>
  </w:style>
  <w:style w:type="paragraph" w:styleId="NormalWeb">
    <w:name w:val="Normal (Web)"/>
    <w:basedOn w:val="Normal"/>
    <w:uiPriority w:val="99"/>
    <w:semiHidden/>
    <w:unhideWhenUsed/>
    <w:rsid w:val="000C7D77"/>
    <w:pPr>
      <w:spacing w:before="61" w:after="61" w:line="240" w:lineRule="auto"/>
    </w:pPr>
    <w:rPr>
      <w:rFonts w:ascii="Times New Roman" w:eastAsia="Times New Roman" w:hAnsi="Times New Roman" w:cs="Times New Roman"/>
      <w:sz w:val="24"/>
      <w:szCs w:val="24"/>
      <w:lang w:eastAsia="en-CA"/>
    </w:rPr>
  </w:style>
  <w:style w:type="character" w:customStyle="1" w:styleId="Heading3Char">
    <w:name w:val="Heading 3 Char"/>
    <w:basedOn w:val="DefaultParagraphFont"/>
    <w:link w:val="Heading3"/>
    <w:uiPriority w:val="9"/>
    <w:semiHidden/>
    <w:rsid w:val="0068576C"/>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07911185">
      <w:bodyDiv w:val="1"/>
      <w:marLeft w:val="0"/>
      <w:marRight w:val="0"/>
      <w:marTop w:val="0"/>
      <w:marBottom w:val="0"/>
      <w:divBdr>
        <w:top w:val="none" w:sz="0" w:space="0" w:color="auto"/>
        <w:left w:val="none" w:sz="0" w:space="0" w:color="auto"/>
        <w:bottom w:val="none" w:sz="0" w:space="0" w:color="auto"/>
        <w:right w:val="none" w:sz="0" w:space="0" w:color="auto"/>
      </w:divBdr>
      <w:divsChild>
        <w:div w:id="1337228153">
          <w:marLeft w:val="0"/>
          <w:marRight w:val="0"/>
          <w:marTop w:val="0"/>
          <w:marBottom w:val="0"/>
          <w:divBdr>
            <w:top w:val="none" w:sz="0" w:space="0" w:color="auto"/>
            <w:left w:val="none" w:sz="0" w:space="0" w:color="auto"/>
            <w:bottom w:val="none" w:sz="0" w:space="0" w:color="auto"/>
            <w:right w:val="none" w:sz="0" w:space="0" w:color="auto"/>
          </w:divBdr>
          <w:divsChild>
            <w:div w:id="464201936">
              <w:marLeft w:val="0"/>
              <w:marRight w:val="0"/>
              <w:marTop w:val="0"/>
              <w:marBottom w:val="0"/>
              <w:divBdr>
                <w:top w:val="none" w:sz="0" w:space="0" w:color="auto"/>
                <w:left w:val="none" w:sz="0" w:space="0" w:color="auto"/>
                <w:bottom w:val="none" w:sz="0" w:space="0" w:color="auto"/>
                <w:right w:val="none" w:sz="0" w:space="0" w:color="auto"/>
              </w:divBdr>
              <w:divsChild>
                <w:div w:id="614487750">
                  <w:marLeft w:val="0"/>
                  <w:marRight w:val="0"/>
                  <w:marTop w:val="0"/>
                  <w:marBottom w:val="0"/>
                  <w:divBdr>
                    <w:top w:val="none" w:sz="0" w:space="0" w:color="auto"/>
                    <w:left w:val="none" w:sz="0" w:space="0" w:color="auto"/>
                    <w:bottom w:val="none" w:sz="0" w:space="0" w:color="auto"/>
                    <w:right w:val="none" w:sz="0" w:space="0" w:color="auto"/>
                  </w:divBdr>
                  <w:divsChild>
                    <w:div w:id="877280288">
                      <w:marLeft w:val="0"/>
                      <w:marRight w:val="0"/>
                      <w:marTop w:val="0"/>
                      <w:marBottom w:val="0"/>
                      <w:divBdr>
                        <w:top w:val="none" w:sz="0" w:space="0" w:color="auto"/>
                        <w:left w:val="none" w:sz="0" w:space="0" w:color="auto"/>
                        <w:bottom w:val="none" w:sz="0" w:space="0" w:color="auto"/>
                        <w:right w:val="none" w:sz="0" w:space="0" w:color="auto"/>
                      </w:divBdr>
                      <w:divsChild>
                        <w:div w:id="824970956">
                          <w:marLeft w:val="0"/>
                          <w:marRight w:val="0"/>
                          <w:marTop w:val="0"/>
                          <w:marBottom w:val="0"/>
                          <w:divBdr>
                            <w:top w:val="none" w:sz="0" w:space="0" w:color="auto"/>
                            <w:left w:val="none" w:sz="0" w:space="0" w:color="auto"/>
                            <w:bottom w:val="none" w:sz="0" w:space="0" w:color="auto"/>
                            <w:right w:val="none" w:sz="0" w:space="0" w:color="auto"/>
                          </w:divBdr>
                          <w:divsChild>
                            <w:div w:id="1456371778">
                              <w:marLeft w:val="0"/>
                              <w:marRight w:val="0"/>
                              <w:marTop w:val="0"/>
                              <w:marBottom w:val="0"/>
                              <w:divBdr>
                                <w:top w:val="none" w:sz="0" w:space="0" w:color="auto"/>
                                <w:left w:val="none" w:sz="0" w:space="0" w:color="auto"/>
                                <w:bottom w:val="none" w:sz="0" w:space="0" w:color="auto"/>
                                <w:right w:val="none" w:sz="0" w:space="0" w:color="auto"/>
                              </w:divBdr>
                              <w:divsChild>
                                <w:div w:id="1193887110">
                                  <w:marLeft w:val="0"/>
                                  <w:marRight w:val="0"/>
                                  <w:marTop w:val="0"/>
                                  <w:marBottom w:val="0"/>
                                  <w:divBdr>
                                    <w:top w:val="none" w:sz="0" w:space="0" w:color="auto"/>
                                    <w:left w:val="none" w:sz="0" w:space="0" w:color="auto"/>
                                    <w:bottom w:val="none" w:sz="0" w:space="0" w:color="auto"/>
                                    <w:right w:val="none" w:sz="0" w:space="0" w:color="auto"/>
                                  </w:divBdr>
                                </w:div>
                                <w:div w:id="1060984477">
                                  <w:marLeft w:val="0"/>
                                  <w:marRight w:val="0"/>
                                  <w:marTop w:val="0"/>
                                  <w:marBottom w:val="0"/>
                                  <w:divBdr>
                                    <w:top w:val="single" w:sz="4" w:space="7" w:color="E9E3AE"/>
                                    <w:left w:val="single" w:sz="4" w:space="7" w:color="E9E3AE"/>
                                    <w:bottom w:val="single" w:sz="4" w:space="7" w:color="E9E3AE"/>
                                    <w:right w:val="single" w:sz="4" w:space="7" w:color="E9E3AE"/>
                                  </w:divBdr>
                                  <w:divsChild>
                                    <w:div w:id="136413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1909139">
      <w:bodyDiv w:val="1"/>
      <w:marLeft w:val="0"/>
      <w:marRight w:val="0"/>
      <w:marTop w:val="0"/>
      <w:marBottom w:val="0"/>
      <w:divBdr>
        <w:top w:val="none" w:sz="0" w:space="0" w:color="auto"/>
        <w:left w:val="none" w:sz="0" w:space="0" w:color="auto"/>
        <w:bottom w:val="none" w:sz="0" w:space="0" w:color="auto"/>
        <w:right w:val="none" w:sz="0" w:space="0" w:color="auto"/>
      </w:divBdr>
      <w:divsChild>
        <w:div w:id="2047481114">
          <w:marLeft w:val="0"/>
          <w:marRight w:val="0"/>
          <w:marTop w:val="0"/>
          <w:marBottom w:val="0"/>
          <w:divBdr>
            <w:top w:val="none" w:sz="0" w:space="0" w:color="auto"/>
            <w:left w:val="none" w:sz="0" w:space="0" w:color="auto"/>
            <w:bottom w:val="none" w:sz="0" w:space="0" w:color="auto"/>
            <w:right w:val="none" w:sz="0" w:space="0" w:color="auto"/>
          </w:divBdr>
          <w:divsChild>
            <w:div w:id="1281185955">
              <w:marLeft w:val="0"/>
              <w:marRight w:val="0"/>
              <w:marTop w:val="0"/>
              <w:marBottom w:val="0"/>
              <w:divBdr>
                <w:top w:val="none" w:sz="0" w:space="0" w:color="auto"/>
                <w:left w:val="none" w:sz="0" w:space="0" w:color="auto"/>
                <w:bottom w:val="none" w:sz="0" w:space="0" w:color="auto"/>
                <w:right w:val="none" w:sz="0" w:space="0" w:color="auto"/>
              </w:divBdr>
              <w:divsChild>
                <w:div w:id="1712152501">
                  <w:marLeft w:val="0"/>
                  <w:marRight w:val="0"/>
                  <w:marTop w:val="0"/>
                  <w:marBottom w:val="0"/>
                  <w:divBdr>
                    <w:top w:val="none" w:sz="0" w:space="0" w:color="auto"/>
                    <w:left w:val="none" w:sz="0" w:space="0" w:color="auto"/>
                    <w:bottom w:val="none" w:sz="0" w:space="0" w:color="auto"/>
                    <w:right w:val="none" w:sz="0" w:space="0" w:color="auto"/>
                  </w:divBdr>
                  <w:divsChild>
                    <w:div w:id="1560090725">
                      <w:marLeft w:val="0"/>
                      <w:marRight w:val="0"/>
                      <w:marTop w:val="0"/>
                      <w:marBottom w:val="0"/>
                      <w:divBdr>
                        <w:top w:val="none" w:sz="0" w:space="0" w:color="auto"/>
                        <w:left w:val="none" w:sz="0" w:space="0" w:color="auto"/>
                        <w:bottom w:val="none" w:sz="0" w:space="0" w:color="auto"/>
                        <w:right w:val="none" w:sz="0" w:space="0" w:color="auto"/>
                      </w:divBdr>
                      <w:divsChild>
                        <w:div w:id="1543592158">
                          <w:marLeft w:val="0"/>
                          <w:marRight w:val="0"/>
                          <w:marTop w:val="0"/>
                          <w:marBottom w:val="0"/>
                          <w:divBdr>
                            <w:top w:val="none" w:sz="0" w:space="0" w:color="auto"/>
                            <w:left w:val="none" w:sz="0" w:space="0" w:color="auto"/>
                            <w:bottom w:val="none" w:sz="0" w:space="0" w:color="auto"/>
                            <w:right w:val="none" w:sz="0" w:space="0" w:color="auto"/>
                          </w:divBdr>
                          <w:divsChild>
                            <w:div w:id="100991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3901479">
      <w:bodyDiv w:val="1"/>
      <w:marLeft w:val="0"/>
      <w:marRight w:val="0"/>
      <w:marTop w:val="0"/>
      <w:marBottom w:val="0"/>
      <w:divBdr>
        <w:top w:val="none" w:sz="0" w:space="0" w:color="auto"/>
        <w:left w:val="none" w:sz="0" w:space="0" w:color="auto"/>
        <w:bottom w:val="none" w:sz="0" w:space="0" w:color="auto"/>
        <w:right w:val="none" w:sz="0" w:space="0" w:color="auto"/>
      </w:divBdr>
      <w:divsChild>
        <w:div w:id="437869836">
          <w:marLeft w:val="0"/>
          <w:marRight w:val="0"/>
          <w:marTop w:val="0"/>
          <w:marBottom w:val="0"/>
          <w:divBdr>
            <w:top w:val="none" w:sz="0" w:space="0" w:color="auto"/>
            <w:left w:val="none" w:sz="0" w:space="0" w:color="auto"/>
            <w:bottom w:val="none" w:sz="0" w:space="0" w:color="auto"/>
            <w:right w:val="none" w:sz="0" w:space="0" w:color="auto"/>
          </w:divBdr>
          <w:divsChild>
            <w:div w:id="600842700">
              <w:marLeft w:val="0"/>
              <w:marRight w:val="0"/>
              <w:marTop w:val="0"/>
              <w:marBottom w:val="0"/>
              <w:divBdr>
                <w:top w:val="none" w:sz="0" w:space="0" w:color="auto"/>
                <w:left w:val="none" w:sz="0" w:space="0" w:color="auto"/>
                <w:bottom w:val="none" w:sz="0" w:space="0" w:color="auto"/>
                <w:right w:val="none" w:sz="0" w:space="0" w:color="auto"/>
              </w:divBdr>
              <w:divsChild>
                <w:div w:id="1101607647">
                  <w:marLeft w:val="0"/>
                  <w:marRight w:val="0"/>
                  <w:marTop w:val="0"/>
                  <w:marBottom w:val="0"/>
                  <w:divBdr>
                    <w:top w:val="none" w:sz="0" w:space="0" w:color="auto"/>
                    <w:left w:val="none" w:sz="0" w:space="0" w:color="auto"/>
                    <w:bottom w:val="none" w:sz="0" w:space="0" w:color="auto"/>
                    <w:right w:val="none" w:sz="0" w:space="0" w:color="auto"/>
                  </w:divBdr>
                  <w:divsChild>
                    <w:div w:id="1938587642">
                      <w:marLeft w:val="0"/>
                      <w:marRight w:val="0"/>
                      <w:marTop w:val="0"/>
                      <w:marBottom w:val="0"/>
                      <w:divBdr>
                        <w:top w:val="none" w:sz="0" w:space="0" w:color="auto"/>
                        <w:left w:val="none" w:sz="0" w:space="0" w:color="auto"/>
                        <w:bottom w:val="none" w:sz="0" w:space="0" w:color="auto"/>
                        <w:right w:val="none" w:sz="0" w:space="0" w:color="auto"/>
                      </w:divBdr>
                      <w:divsChild>
                        <w:div w:id="575013924">
                          <w:marLeft w:val="0"/>
                          <w:marRight w:val="0"/>
                          <w:marTop w:val="0"/>
                          <w:marBottom w:val="0"/>
                          <w:divBdr>
                            <w:top w:val="none" w:sz="0" w:space="0" w:color="auto"/>
                            <w:left w:val="none" w:sz="0" w:space="0" w:color="auto"/>
                            <w:bottom w:val="none" w:sz="0" w:space="0" w:color="auto"/>
                            <w:right w:val="none" w:sz="0" w:space="0" w:color="auto"/>
                          </w:divBdr>
                          <w:divsChild>
                            <w:div w:id="198354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9281788">
      <w:bodyDiv w:val="1"/>
      <w:marLeft w:val="0"/>
      <w:marRight w:val="0"/>
      <w:marTop w:val="0"/>
      <w:marBottom w:val="0"/>
      <w:divBdr>
        <w:top w:val="none" w:sz="0" w:space="0" w:color="auto"/>
        <w:left w:val="none" w:sz="0" w:space="0" w:color="auto"/>
        <w:bottom w:val="none" w:sz="0" w:space="0" w:color="auto"/>
        <w:right w:val="none" w:sz="0" w:space="0" w:color="auto"/>
      </w:divBdr>
      <w:divsChild>
        <w:div w:id="1054305719">
          <w:marLeft w:val="0"/>
          <w:marRight w:val="0"/>
          <w:marTop w:val="0"/>
          <w:marBottom w:val="0"/>
          <w:divBdr>
            <w:top w:val="none" w:sz="0" w:space="0" w:color="auto"/>
            <w:left w:val="none" w:sz="0" w:space="0" w:color="auto"/>
            <w:bottom w:val="none" w:sz="0" w:space="0" w:color="auto"/>
            <w:right w:val="none" w:sz="0" w:space="0" w:color="auto"/>
          </w:divBdr>
          <w:divsChild>
            <w:div w:id="1834449446">
              <w:marLeft w:val="0"/>
              <w:marRight w:val="0"/>
              <w:marTop w:val="0"/>
              <w:marBottom w:val="0"/>
              <w:divBdr>
                <w:top w:val="none" w:sz="0" w:space="0" w:color="auto"/>
                <w:left w:val="none" w:sz="0" w:space="0" w:color="auto"/>
                <w:bottom w:val="none" w:sz="0" w:space="0" w:color="auto"/>
                <w:right w:val="none" w:sz="0" w:space="0" w:color="auto"/>
              </w:divBdr>
              <w:divsChild>
                <w:div w:id="1920359850">
                  <w:marLeft w:val="0"/>
                  <w:marRight w:val="0"/>
                  <w:marTop w:val="0"/>
                  <w:marBottom w:val="0"/>
                  <w:divBdr>
                    <w:top w:val="none" w:sz="0" w:space="0" w:color="auto"/>
                    <w:left w:val="none" w:sz="0" w:space="0" w:color="auto"/>
                    <w:bottom w:val="none" w:sz="0" w:space="0" w:color="auto"/>
                    <w:right w:val="none" w:sz="0" w:space="0" w:color="auto"/>
                  </w:divBdr>
                  <w:divsChild>
                    <w:div w:id="33235773">
                      <w:marLeft w:val="0"/>
                      <w:marRight w:val="0"/>
                      <w:marTop w:val="0"/>
                      <w:marBottom w:val="0"/>
                      <w:divBdr>
                        <w:top w:val="none" w:sz="0" w:space="0" w:color="auto"/>
                        <w:left w:val="none" w:sz="0" w:space="0" w:color="auto"/>
                        <w:bottom w:val="none" w:sz="0" w:space="0" w:color="auto"/>
                        <w:right w:val="none" w:sz="0" w:space="0" w:color="auto"/>
                      </w:divBdr>
                      <w:divsChild>
                        <w:div w:id="174196019">
                          <w:marLeft w:val="0"/>
                          <w:marRight w:val="0"/>
                          <w:marTop w:val="0"/>
                          <w:marBottom w:val="0"/>
                          <w:divBdr>
                            <w:top w:val="none" w:sz="0" w:space="0" w:color="auto"/>
                            <w:left w:val="none" w:sz="0" w:space="0" w:color="auto"/>
                            <w:bottom w:val="none" w:sz="0" w:space="0" w:color="auto"/>
                            <w:right w:val="none" w:sz="0" w:space="0" w:color="auto"/>
                          </w:divBdr>
                          <w:divsChild>
                            <w:div w:id="1509559587">
                              <w:marLeft w:val="0"/>
                              <w:marRight w:val="0"/>
                              <w:marTop w:val="0"/>
                              <w:marBottom w:val="0"/>
                              <w:divBdr>
                                <w:top w:val="none" w:sz="0" w:space="0" w:color="auto"/>
                                <w:left w:val="none" w:sz="0" w:space="0" w:color="auto"/>
                                <w:bottom w:val="none" w:sz="0" w:space="0" w:color="auto"/>
                                <w:right w:val="none" w:sz="0" w:space="0" w:color="auto"/>
                              </w:divBdr>
                              <w:divsChild>
                                <w:div w:id="69544239">
                                  <w:marLeft w:val="121"/>
                                  <w:marRight w:val="24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8427239">
      <w:bodyDiv w:val="1"/>
      <w:marLeft w:val="0"/>
      <w:marRight w:val="0"/>
      <w:marTop w:val="0"/>
      <w:marBottom w:val="0"/>
      <w:divBdr>
        <w:top w:val="none" w:sz="0" w:space="0" w:color="auto"/>
        <w:left w:val="none" w:sz="0" w:space="0" w:color="auto"/>
        <w:bottom w:val="none" w:sz="0" w:space="0" w:color="auto"/>
        <w:right w:val="none" w:sz="0" w:space="0" w:color="auto"/>
      </w:divBdr>
      <w:divsChild>
        <w:div w:id="210001134">
          <w:marLeft w:val="0"/>
          <w:marRight w:val="0"/>
          <w:marTop w:val="0"/>
          <w:marBottom w:val="0"/>
          <w:divBdr>
            <w:top w:val="none" w:sz="0" w:space="0" w:color="auto"/>
            <w:left w:val="none" w:sz="0" w:space="0" w:color="auto"/>
            <w:bottom w:val="none" w:sz="0" w:space="0" w:color="auto"/>
            <w:right w:val="none" w:sz="0" w:space="0" w:color="auto"/>
          </w:divBdr>
          <w:divsChild>
            <w:div w:id="1129711243">
              <w:marLeft w:val="0"/>
              <w:marRight w:val="0"/>
              <w:marTop w:val="0"/>
              <w:marBottom w:val="0"/>
              <w:divBdr>
                <w:top w:val="none" w:sz="0" w:space="0" w:color="auto"/>
                <w:left w:val="none" w:sz="0" w:space="0" w:color="auto"/>
                <w:bottom w:val="none" w:sz="0" w:space="0" w:color="auto"/>
                <w:right w:val="none" w:sz="0" w:space="0" w:color="auto"/>
              </w:divBdr>
              <w:divsChild>
                <w:div w:id="1513568645">
                  <w:marLeft w:val="0"/>
                  <w:marRight w:val="0"/>
                  <w:marTop w:val="0"/>
                  <w:marBottom w:val="0"/>
                  <w:divBdr>
                    <w:top w:val="none" w:sz="0" w:space="0" w:color="auto"/>
                    <w:left w:val="none" w:sz="0" w:space="0" w:color="auto"/>
                    <w:bottom w:val="none" w:sz="0" w:space="0" w:color="auto"/>
                    <w:right w:val="none" w:sz="0" w:space="0" w:color="auto"/>
                  </w:divBdr>
                  <w:divsChild>
                    <w:div w:id="278266432">
                      <w:marLeft w:val="0"/>
                      <w:marRight w:val="0"/>
                      <w:marTop w:val="0"/>
                      <w:marBottom w:val="0"/>
                      <w:divBdr>
                        <w:top w:val="none" w:sz="0" w:space="0" w:color="auto"/>
                        <w:left w:val="none" w:sz="0" w:space="0" w:color="auto"/>
                        <w:bottom w:val="none" w:sz="0" w:space="0" w:color="auto"/>
                        <w:right w:val="none" w:sz="0" w:space="0" w:color="auto"/>
                      </w:divBdr>
                      <w:divsChild>
                        <w:div w:id="798955358">
                          <w:marLeft w:val="0"/>
                          <w:marRight w:val="0"/>
                          <w:marTop w:val="0"/>
                          <w:marBottom w:val="0"/>
                          <w:divBdr>
                            <w:top w:val="none" w:sz="0" w:space="0" w:color="auto"/>
                            <w:left w:val="none" w:sz="0" w:space="0" w:color="auto"/>
                            <w:bottom w:val="none" w:sz="0" w:space="0" w:color="auto"/>
                            <w:right w:val="none" w:sz="0" w:space="0" w:color="auto"/>
                          </w:divBdr>
                          <w:divsChild>
                            <w:div w:id="544172704">
                              <w:marLeft w:val="0"/>
                              <w:marRight w:val="0"/>
                              <w:marTop w:val="0"/>
                              <w:marBottom w:val="0"/>
                              <w:divBdr>
                                <w:top w:val="none" w:sz="0" w:space="0" w:color="auto"/>
                                <w:left w:val="none" w:sz="0" w:space="0" w:color="auto"/>
                                <w:bottom w:val="none" w:sz="0" w:space="0" w:color="auto"/>
                                <w:right w:val="none" w:sz="0" w:space="0" w:color="auto"/>
                              </w:divBdr>
                              <w:divsChild>
                                <w:div w:id="1282495161">
                                  <w:marLeft w:val="121"/>
                                  <w:marRight w:val="24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8160504">
      <w:bodyDiv w:val="1"/>
      <w:marLeft w:val="0"/>
      <w:marRight w:val="0"/>
      <w:marTop w:val="0"/>
      <w:marBottom w:val="0"/>
      <w:divBdr>
        <w:top w:val="none" w:sz="0" w:space="0" w:color="auto"/>
        <w:left w:val="none" w:sz="0" w:space="0" w:color="auto"/>
        <w:bottom w:val="none" w:sz="0" w:space="0" w:color="auto"/>
        <w:right w:val="none" w:sz="0" w:space="0" w:color="auto"/>
      </w:divBdr>
      <w:divsChild>
        <w:div w:id="2017227909">
          <w:marLeft w:val="0"/>
          <w:marRight w:val="0"/>
          <w:marTop w:val="0"/>
          <w:marBottom w:val="0"/>
          <w:divBdr>
            <w:top w:val="none" w:sz="0" w:space="0" w:color="auto"/>
            <w:left w:val="none" w:sz="0" w:space="0" w:color="auto"/>
            <w:bottom w:val="none" w:sz="0" w:space="0" w:color="auto"/>
            <w:right w:val="none" w:sz="0" w:space="0" w:color="auto"/>
          </w:divBdr>
          <w:divsChild>
            <w:div w:id="242030850">
              <w:marLeft w:val="0"/>
              <w:marRight w:val="0"/>
              <w:marTop w:val="0"/>
              <w:marBottom w:val="0"/>
              <w:divBdr>
                <w:top w:val="none" w:sz="0" w:space="0" w:color="auto"/>
                <w:left w:val="none" w:sz="0" w:space="0" w:color="auto"/>
                <w:bottom w:val="none" w:sz="0" w:space="0" w:color="auto"/>
                <w:right w:val="none" w:sz="0" w:space="0" w:color="auto"/>
              </w:divBdr>
              <w:divsChild>
                <w:div w:id="680592284">
                  <w:marLeft w:val="0"/>
                  <w:marRight w:val="0"/>
                  <w:marTop w:val="0"/>
                  <w:marBottom w:val="0"/>
                  <w:divBdr>
                    <w:top w:val="none" w:sz="0" w:space="0" w:color="auto"/>
                    <w:left w:val="none" w:sz="0" w:space="0" w:color="auto"/>
                    <w:bottom w:val="none" w:sz="0" w:space="0" w:color="auto"/>
                    <w:right w:val="none" w:sz="0" w:space="0" w:color="auto"/>
                  </w:divBdr>
                  <w:divsChild>
                    <w:div w:id="2128231099">
                      <w:marLeft w:val="0"/>
                      <w:marRight w:val="0"/>
                      <w:marTop w:val="0"/>
                      <w:marBottom w:val="0"/>
                      <w:divBdr>
                        <w:top w:val="none" w:sz="0" w:space="0" w:color="auto"/>
                        <w:left w:val="none" w:sz="0" w:space="0" w:color="auto"/>
                        <w:bottom w:val="none" w:sz="0" w:space="0" w:color="auto"/>
                        <w:right w:val="none" w:sz="0" w:space="0" w:color="auto"/>
                      </w:divBdr>
                      <w:divsChild>
                        <w:div w:id="403914746">
                          <w:marLeft w:val="0"/>
                          <w:marRight w:val="0"/>
                          <w:marTop w:val="0"/>
                          <w:marBottom w:val="0"/>
                          <w:divBdr>
                            <w:top w:val="none" w:sz="0" w:space="0" w:color="auto"/>
                            <w:left w:val="none" w:sz="0" w:space="0" w:color="auto"/>
                            <w:bottom w:val="none" w:sz="0" w:space="0" w:color="auto"/>
                            <w:right w:val="none" w:sz="0" w:space="0" w:color="auto"/>
                          </w:divBdr>
                          <w:divsChild>
                            <w:div w:id="1591307796">
                              <w:marLeft w:val="0"/>
                              <w:marRight w:val="0"/>
                              <w:marTop w:val="0"/>
                              <w:marBottom w:val="0"/>
                              <w:divBdr>
                                <w:top w:val="none" w:sz="0" w:space="0" w:color="auto"/>
                                <w:left w:val="none" w:sz="0" w:space="0" w:color="auto"/>
                                <w:bottom w:val="none" w:sz="0" w:space="0" w:color="auto"/>
                                <w:right w:val="none" w:sz="0" w:space="0" w:color="auto"/>
                              </w:divBdr>
                              <w:divsChild>
                                <w:div w:id="293295802">
                                  <w:marLeft w:val="0"/>
                                  <w:marRight w:val="0"/>
                                  <w:marTop w:val="0"/>
                                  <w:marBottom w:val="0"/>
                                  <w:divBdr>
                                    <w:top w:val="none" w:sz="0" w:space="0" w:color="auto"/>
                                    <w:left w:val="none" w:sz="0" w:space="0" w:color="auto"/>
                                    <w:bottom w:val="none" w:sz="0" w:space="0" w:color="auto"/>
                                    <w:right w:val="none" w:sz="0" w:space="0" w:color="auto"/>
                                  </w:divBdr>
                                </w:div>
                                <w:div w:id="1030181079">
                                  <w:marLeft w:val="0"/>
                                  <w:marRight w:val="0"/>
                                  <w:marTop w:val="0"/>
                                  <w:marBottom w:val="0"/>
                                  <w:divBdr>
                                    <w:top w:val="single" w:sz="4" w:space="7" w:color="E9E3AE"/>
                                    <w:left w:val="single" w:sz="4" w:space="7" w:color="E9E3AE"/>
                                    <w:bottom w:val="single" w:sz="4" w:space="7" w:color="E9E3AE"/>
                                    <w:right w:val="single" w:sz="4" w:space="7" w:color="E9E3AE"/>
                                  </w:divBdr>
                                  <w:divsChild>
                                    <w:div w:id="127575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0023339">
      <w:bodyDiv w:val="1"/>
      <w:marLeft w:val="0"/>
      <w:marRight w:val="0"/>
      <w:marTop w:val="0"/>
      <w:marBottom w:val="0"/>
      <w:divBdr>
        <w:top w:val="none" w:sz="0" w:space="0" w:color="auto"/>
        <w:left w:val="none" w:sz="0" w:space="0" w:color="auto"/>
        <w:bottom w:val="none" w:sz="0" w:space="0" w:color="auto"/>
        <w:right w:val="none" w:sz="0" w:space="0" w:color="auto"/>
      </w:divBdr>
      <w:divsChild>
        <w:div w:id="2040162189">
          <w:marLeft w:val="0"/>
          <w:marRight w:val="0"/>
          <w:marTop w:val="0"/>
          <w:marBottom w:val="0"/>
          <w:divBdr>
            <w:top w:val="none" w:sz="0" w:space="0" w:color="auto"/>
            <w:left w:val="none" w:sz="0" w:space="0" w:color="auto"/>
            <w:bottom w:val="none" w:sz="0" w:space="0" w:color="auto"/>
            <w:right w:val="none" w:sz="0" w:space="0" w:color="auto"/>
          </w:divBdr>
          <w:divsChild>
            <w:div w:id="1090196588">
              <w:marLeft w:val="0"/>
              <w:marRight w:val="0"/>
              <w:marTop w:val="0"/>
              <w:marBottom w:val="0"/>
              <w:divBdr>
                <w:top w:val="none" w:sz="0" w:space="0" w:color="auto"/>
                <w:left w:val="none" w:sz="0" w:space="0" w:color="auto"/>
                <w:bottom w:val="none" w:sz="0" w:space="0" w:color="auto"/>
                <w:right w:val="none" w:sz="0" w:space="0" w:color="auto"/>
              </w:divBdr>
              <w:divsChild>
                <w:div w:id="613709654">
                  <w:marLeft w:val="0"/>
                  <w:marRight w:val="0"/>
                  <w:marTop w:val="0"/>
                  <w:marBottom w:val="0"/>
                  <w:divBdr>
                    <w:top w:val="none" w:sz="0" w:space="0" w:color="auto"/>
                    <w:left w:val="none" w:sz="0" w:space="0" w:color="auto"/>
                    <w:bottom w:val="none" w:sz="0" w:space="0" w:color="auto"/>
                    <w:right w:val="none" w:sz="0" w:space="0" w:color="auto"/>
                  </w:divBdr>
                  <w:divsChild>
                    <w:div w:id="164321327">
                      <w:marLeft w:val="0"/>
                      <w:marRight w:val="0"/>
                      <w:marTop w:val="0"/>
                      <w:marBottom w:val="0"/>
                      <w:divBdr>
                        <w:top w:val="none" w:sz="0" w:space="0" w:color="auto"/>
                        <w:left w:val="none" w:sz="0" w:space="0" w:color="auto"/>
                        <w:bottom w:val="none" w:sz="0" w:space="0" w:color="auto"/>
                        <w:right w:val="none" w:sz="0" w:space="0" w:color="auto"/>
                      </w:divBdr>
                      <w:divsChild>
                        <w:div w:id="1677422864">
                          <w:marLeft w:val="0"/>
                          <w:marRight w:val="0"/>
                          <w:marTop w:val="0"/>
                          <w:marBottom w:val="0"/>
                          <w:divBdr>
                            <w:top w:val="none" w:sz="0" w:space="0" w:color="auto"/>
                            <w:left w:val="none" w:sz="0" w:space="0" w:color="auto"/>
                            <w:bottom w:val="none" w:sz="0" w:space="0" w:color="auto"/>
                            <w:right w:val="none" w:sz="0" w:space="0" w:color="auto"/>
                          </w:divBdr>
                          <w:divsChild>
                            <w:div w:id="891618500">
                              <w:marLeft w:val="0"/>
                              <w:marRight w:val="0"/>
                              <w:marTop w:val="0"/>
                              <w:marBottom w:val="0"/>
                              <w:divBdr>
                                <w:top w:val="none" w:sz="0" w:space="0" w:color="auto"/>
                                <w:left w:val="none" w:sz="0" w:space="0" w:color="auto"/>
                                <w:bottom w:val="none" w:sz="0" w:space="0" w:color="auto"/>
                                <w:right w:val="none" w:sz="0" w:space="0" w:color="auto"/>
                              </w:divBdr>
                              <w:divsChild>
                                <w:div w:id="371422140">
                                  <w:marLeft w:val="121"/>
                                  <w:marRight w:val="24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6958534">
      <w:bodyDiv w:val="1"/>
      <w:marLeft w:val="0"/>
      <w:marRight w:val="0"/>
      <w:marTop w:val="0"/>
      <w:marBottom w:val="0"/>
      <w:divBdr>
        <w:top w:val="none" w:sz="0" w:space="0" w:color="auto"/>
        <w:left w:val="none" w:sz="0" w:space="0" w:color="auto"/>
        <w:bottom w:val="none" w:sz="0" w:space="0" w:color="auto"/>
        <w:right w:val="none" w:sz="0" w:space="0" w:color="auto"/>
      </w:divBdr>
      <w:divsChild>
        <w:div w:id="1859662246">
          <w:marLeft w:val="0"/>
          <w:marRight w:val="0"/>
          <w:marTop w:val="0"/>
          <w:marBottom w:val="0"/>
          <w:divBdr>
            <w:top w:val="none" w:sz="0" w:space="0" w:color="auto"/>
            <w:left w:val="none" w:sz="0" w:space="0" w:color="auto"/>
            <w:bottom w:val="none" w:sz="0" w:space="0" w:color="auto"/>
            <w:right w:val="none" w:sz="0" w:space="0" w:color="auto"/>
          </w:divBdr>
          <w:divsChild>
            <w:div w:id="1170438856">
              <w:marLeft w:val="0"/>
              <w:marRight w:val="0"/>
              <w:marTop w:val="0"/>
              <w:marBottom w:val="0"/>
              <w:divBdr>
                <w:top w:val="none" w:sz="0" w:space="0" w:color="auto"/>
                <w:left w:val="none" w:sz="0" w:space="0" w:color="auto"/>
                <w:bottom w:val="none" w:sz="0" w:space="0" w:color="auto"/>
                <w:right w:val="none" w:sz="0" w:space="0" w:color="auto"/>
              </w:divBdr>
              <w:divsChild>
                <w:div w:id="848788691">
                  <w:marLeft w:val="0"/>
                  <w:marRight w:val="0"/>
                  <w:marTop w:val="0"/>
                  <w:marBottom w:val="0"/>
                  <w:divBdr>
                    <w:top w:val="none" w:sz="0" w:space="0" w:color="auto"/>
                    <w:left w:val="none" w:sz="0" w:space="0" w:color="auto"/>
                    <w:bottom w:val="none" w:sz="0" w:space="0" w:color="auto"/>
                    <w:right w:val="none" w:sz="0" w:space="0" w:color="auto"/>
                  </w:divBdr>
                  <w:divsChild>
                    <w:div w:id="2102528959">
                      <w:marLeft w:val="0"/>
                      <w:marRight w:val="0"/>
                      <w:marTop w:val="0"/>
                      <w:marBottom w:val="0"/>
                      <w:divBdr>
                        <w:top w:val="none" w:sz="0" w:space="0" w:color="auto"/>
                        <w:left w:val="none" w:sz="0" w:space="0" w:color="auto"/>
                        <w:bottom w:val="none" w:sz="0" w:space="0" w:color="auto"/>
                        <w:right w:val="none" w:sz="0" w:space="0" w:color="auto"/>
                      </w:divBdr>
                      <w:divsChild>
                        <w:div w:id="306863100">
                          <w:marLeft w:val="0"/>
                          <w:marRight w:val="0"/>
                          <w:marTop w:val="0"/>
                          <w:marBottom w:val="0"/>
                          <w:divBdr>
                            <w:top w:val="none" w:sz="0" w:space="0" w:color="auto"/>
                            <w:left w:val="none" w:sz="0" w:space="0" w:color="auto"/>
                            <w:bottom w:val="none" w:sz="0" w:space="0" w:color="auto"/>
                            <w:right w:val="none" w:sz="0" w:space="0" w:color="auto"/>
                          </w:divBdr>
                          <w:divsChild>
                            <w:div w:id="453141351">
                              <w:marLeft w:val="0"/>
                              <w:marRight w:val="0"/>
                              <w:marTop w:val="0"/>
                              <w:marBottom w:val="0"/>
                              <w:divBdr>
                                <w:top w:val="none" w:sz="0" w:space="0" w:color="auto"/>
                                <w:left w:val="none" w:sz="0" w:space="0" w:color="auto"/>
                                <w:bottom w:val="none" w:sz="0" w:space="0" w:color="auto"/>
                                <w:right w:val="none" w:sz="0" w:space="0" w:color="auto"/>
                              </w:divBdr>
                              <w:divsChild>
                                <w:div w:id="1375541463">
                                  <w:marLeft w:val="0"/>
                                  <w:marRight w:val="0"/>
                                  <w:marTop w:val="0"/>
                                  <w:marBottom w:val="0"/>
                                  <w:divBdr>
                                    <w:top w:val="none" w:sz="0" w:space="0" w:color="auto"/>
                                    <w:left w:val="none" w:sz="0" w:space="0" w:color="auto"/>
                                    <w:bottom w:val="none" w:sz="0" w:space="0" w:color="auto"/>
                                    <w:right w:val="none" w:sz="0" w:space="0" w:color="auto"/>
                                  </w:divBdr>
                                </w:div>
                                <w:div w:id="645739117">
                                  <w:marLeft w:val="0"/>
                                  <w:marRight w:val="0"/>
                                  <w:marTop w:val="0"/>
                                  <w:marBottom w:val="0"/>
                                  <w:divBdr>
                                    <w:top w:val="single" w:sz="4" w:space="7" w:color="E9E3AE"/>
                                    <w:left w:val="single" w:sz="4" w:space="7" w:color="E9E3AE"/>
                                    <w:bottom w:val="single" w:sz="4" w:space="7" w:color="E9E3AE"/>
                                    <w:right w:val="single" w:sz="4" w:space="7" w:color="E9E3AE"/>
                                  </w:divBdr>
                                  <w:divsChild>
                                    <w:div w:id="197621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2757</TotalTime>
  <Pages>2</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dc:creator>
  <cp:lastModifiedBy>Gabriel</cp:lastModifiedBy>
  <cp:revision>1</cp:revision>
  <dcterms:created xsi:type="dcterms:W3CDTF">2012-01-23T17:57:00Z</dcterms:created>
  <dcterms:modified xsi:type="dcterms:W3CDTF">2012-01-25T17:12:00Z</dcterms:modified>
</cp:coreProperties>
</file>